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B6" w:rsidRPr="009A4CF6" w:rsidRDefault="00F64CF1" w:rsidP="00F64CF1">
      <w:pPr>
        <w:shd w:val="clear" w:color="auto" w:fill="F4F4F2"/>
        <w:spacing w:after="0" w:line="240" w:lineRule="auto"/>
        <w:jc w:val="both"/>
        <w:textAlignment w:val="baseline"/>
        <w:rPr>
          <w:rFonts w:ascii="Arial" w:hAnsi="Arial" w:cs="Arial"/>
          <w:bCs/>
          <w:color w:val="000000"/>
          <w:bdr w:val="none" w:sz="0" w:space="0" w:color="auto" w:frame="1"/>
        </w:rPr>
      </w:pP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r>
      <w:r w:rsidRPr="009A4CF6">
        <w:rPr>
          <w:rFonts w:ascii="Arial" w:hAnsi="Arial" w:cs="Arial"/>
          <w:bCs/>
          <w:color w:val="000000"/>
          <w:bdr w:val="none" w:sz="0" w:space="0" w:color="auto" w:frame="1"/>
        </w:rPr>
        <w:tab/>
        <w:t>Bursa, 24.Ağustos.2020</w:t>
      </w:r>
    </w:p>
    <w:p w:rsidR="00F64CF1" w:rsidRPr="009A4CF6" w:rsidRDefault="00F64CF1" w:rsidP="00F64CF1">
      <w:pPr>
        <w:shd w:val="clear" w:color="auto" w:fill="F4F4F2"/>
        <w:spacing w:after="0" w:line="240" w:lineRule="auto"/>
        <w:jc w:val="both"/>
        <w:textAlignment w:val="baseline"/>
        <w:rPr>
          <w:rFonts w:ascii="Arial" w:hAnsi="Arial" w:cs="Arial"/>
          <w:bCs/>
          <w:color w:val="000000"/>
          <w:bdr w:val="none" w:sz="0" w:space="0" w:color="auto" w:frame="1"/>
        </w:rPr>
      </w:pPr>
    </w:p>
    <w:p w:rsidR="00F64CF1" w:rsidRPr="009A4CF6" w:rsidRDefault="00F64CF1" w:rsidP="00F64CF1">
      <w:pPr>
        <w:shd w:val="clear" w:color="auto" w:fill="F4F4F2"/>
        <w:spacing w:after="0" w:line="240" w:lineRule="auto"/>
        <w:jc w:val="both"/>
        <w:textAlignment w:val="baseline"/>
        <w:rPr>
          <w:rFonts w:ascii="Arial" w:hAnsi="Arial" w:cs="Arial"/>
          <w:bCs/>
          <w:color w:val="000000"/>
          <w:bdr w:val="none" w:sz="0" w:space="0" w:color="auto" w:frame="1"/>
        </w:rPr>
      </w:pPr>
    </w:p>
    <w:p w:rsidR="002A0CB6" w:rsidRPr="009A4CF6" w:rsidRDefault="002A0CB6" w:rsidP="00F64CF1">
      <w:pPr>
        <w:shd w:val="clear" w:color="auto" w:fill="F4F4F2"/>
        <w:spacing w:after="0" w:line="240" w:lineRule="auto"/>
        <w:jc w:val="both"/>
        <w:textAlignment w:val="baseline"/>
        <w:rPr>
          <w:rFonts w:ascii="Arial" w:hAnsi="Arial" w:cs="Arial"/>
          <w:bCs/>
          <w:color w:val="000000"/>
          <w:bdr w:val="none" w:sz="0" w:space="0" w:color="auto" w:frame="1"/>
        </w:rPr>
      </w:pPr>
      <w:r w:rsidRPr="009A4CF6">
        <w:rPr>
          <w:rFonts w:ascii="Arial" w:hAnsi="Arial" w:cs="Arial"/>
          <w:bCs/>
          <w:color w:val="000000"/>
          <w:bdr w:val="none" w:sz="0" w:space="0" w:color="auto" w:frame="1"/>
        </w:rPr>
        <w:t>YATIRIM</w:t>
      </w:r>
      <w:r w:rsidR="00026775">
        <w:rPr>
          <w:rFonts w:ascii="Arial" w:hAnsi="Arial" w:cs="Arial"/>
          <w:bCs/>
          <w:color w:val="000000"/>
          <w:bdr w:val="none" w:sz="0" w:space="0" w:color="auto" w:frame="1"/>
        </w:rPr>
        <w:t xml:space="preserve"> TEŞVİKLERİNDE </w:t>
      </w:r>
      <w:bookmarkStart w:id="0" w:name="_GoBack"/>
      <w:bookmarkEnd w:id="0"/>
      <w:r w:rsidRPr="009A4CF6">
        <w:rPr>
          <w:rFonts w:ascii="Arial" w:hAnsi="Arial" w:cs="Arial"/>
          <w:bCs/>
          <w:color w:val="000000"/>
          <w:bdr w:val="none" w:sz="0" w:space="0" w:color="auto" w:frame="1"/>
        </w:rPr>
        <w:t xml:space="preserve">AĞUSTOS 2020 DEĞİŞİKLİKLERİ </w:t>
      </w:r>
    </w:p>
    <w:p w:rsidR="002A0CB6" w:rsidRPr="009A4CF6" w:rsidRDefault="002A0CB6" w:rsidP="00F64CF1">
      <w:pPr>
        <w:shd w:val="clear" w:color="auto" w:fill="F4F4F2"/>
        <w:spacing w:after="0" w:line="240" w:lineRule="auto"/>
        <w:jc w:val="both"/>
        <w:textAlignment w:val="baseline"/>
        <w:rPr>
          <w:rFonts w:ascii="Arial" w:hAnsi="Arial" w:cs="Arial"/>
          <w:bCs/>
          <w:color w:val="000000"/>
          <w:bdr w:val="none" w:sz="0" w:space="0" w:color="auto" w:frame="1"/>
        </w:rPr>
      </w:pPr>
    </w:p>
    <w:p w:rsidR="002A0CB6" w:rsidRPr="009A4CF6" w:rsidRDefault="002A0CB6" w:rsidP="00F64CF1">
      <w:pPr>
        <w:shd w:val="clear" w:color="auto" w:fill="F4F4F2"/>
        <w:spacing w:after="0" w:line="240" w:lineRule="auto"/>
        <w:jc w:val="both"/>
        <w:textAlignment w:val="baseline"/>
        <w:rPr>
          <w:rFonts w:ascii="Arial" w:hAnsi="Arial" w:cs="Arial"/>
          <w:bCs/>
          <w:color w:val="000000"/>
          <w:bdr w:val="none" w:sz="0" w:space="0" w:color="auto" w:frame="1"/>
        </w:rPr>
      </w:pPr>
    </w:p>
    <w:p w:rsidR="002A0CB6" w:rsidRDefault="002A0CB6" w:rsidP="00F64CF1">
      <w:pPr>
        <w:shd w:val="clear" w:color="auto" w:fill="F4F4F2"/>
        <w:spacing w:after="0" w:line="240" w:lineRule="auto"/>
        <w:jc w:val="both"/>
        <w:textAlignment w:val="baseline"/>
        <w:rPr>
          <w:rFonts w:ascii="Arial" w:hAnsi="Arial" w:cs="Arial"/>
          <w:bCs/>
          <w:color w:val="000000"/>
          <w:bdr w:val="none" w:sz="0" w:space="0" w:color="auto" w:frame="1"/>
        </w:rPr>
      </w:pPr>
      <w:r w:rsidRPr="009A4CF6">
        <w:rPr>
          <w:rFonts w:ascii="Arial" w:hAnsi="Arial" w:cs="Arial"/>
          <w:bCs/>
          <w:color w:val="000000"/>
          <w:bdr w:val="none" w:sz="0" w:space="0" w:color="auto" w:frame="1"/>
        </w:rPr>
        <w:tab/>
        <w:t xml:space="preserve">21.Ağustos.2020 tarih ve 31220 sayılı Resmi Gazetede yayımlanan 2846 sayılı Cumhurbaşkanlığı kararı ile yatırımlarda devlet yardımları hakkındaki kararda aşağıda belirtilen değişiklikler yapılmıştır. </w:t>
      </w:r>
    </w:p>
    <w:p w:rsidR="00F642C9" w:rsidRDefault="00F642C9" w:rsidP="00F64CF1">
      <w:pPr>
        <w:shd w:val="clear" w:color="auto" w:fill="F4F4F2"/>
        <w:spacing w:after="0" w:line="240" w:lineRule="auto"/>
        <w:jc w:val="both"/>
        <w:textAlignment w:val="baseline"/>
        <w:rPr>
          <w:rFonts w:ascii="Arial" w:hAnsi="Arial" w:cs="Arial"/>
          <w:bCs/>
          <w:color w:val="000000"/>
          <w:bdr w:val="none" w:sz="0" w:space="0" w:color="auto" w:frame="1"/>
        </w:rPr>
      </w:pPr>
      <w:r>
        <w:rPr>
          <w:rFonts w:ascii="Arial" w:hAnsi="Arial" w:cs="Arial"/>
          <w:bCs/>
          <w:color w:val="000000"/>
          <w:bdr w:val="none" w:sz="0" w:space="0" w:color="auto" w:frame="1"/>
        </w:rPr>
        <w:tab/>
        <w:t>2846 sayılı Cumhurbaşkanlığı kararı ile yapılan değişiklikleri kararı ele alarak ve zaman zaman da yorumlarda bulunarak yazımızda açıklamaya çalışacağız.</w:t>
      </w:r>
    </w:p>
    <w:p w:rsidR="002A0CB6" w:rsidRPr="009A4CF6" w:rsidRDefault="002A0CB6" w:rsidP="00F64CF1">
      <w:pPr>
        <w:shd w:val="clear" w:color="auto" w:fill="F4F4F2"/>
        <w:spacing w:after="0" w:line="240" w:lineRule="auto"/>
        <w:jc w:val="both"/>
        <w:textAlignment w:val="baseline"/>
        <w:rPr>
          <w:rFonts w:ascii="Arial" w:hAnsi="Arial" w:cs="Arial"/>
          <w:bCs/>
          <w:color w:val="000000"/>
          <w:bdr w:val="none" w:sz="0" w:space="0" w:color="auto" w:frame="1"/>
        </w:rPr>
      </w:pPr>
    </w:p>
    <w:p w:rsidR="00F642C9" w:rsidRDefault="00CF6CB9" w:rsidP="00F64CF1">
      <w:pPr>
        <w:shd w:val="clear" w:color="auto" w:fill="F4F4F2"/>
        <w:spacing w:after="0" w:line="240" w:lineRule="auto"/>
        <w:ind w:left="708"/>
        <w:jc w:val="both"/>
        <w:textAlignment w:val="baseline"/>
        <w:rPr>
          <w:rFonts w:ascii="Arial" w:hAnsi="Arial" w:cs="Arial"/>
          <w:color w:val="444444"/>
        </w:rPr>
      </w:pPr>
      <w:r w:rsidRPr="009A4CF6">
        <w:rPr>
          <w:rFonts w:ascii="Arial" w:hAnsi="Arial" w:cs="Arial"/>
          <w:color w:val="444444"/>
        </w:rPr>
        <w:br/>
      </w:r>
      <w:r w:rsidRPr="009A4CF6">
        <w:rPr>
          <w:rFonts w:ascii="Arial" w:hAnsi="Arial" w:cs="Arial"/>
          <w:bCs/>
          <w:color w:val="000000"/>
          <w:bdr w:val="none" w:sz="0" w:space="0" w:color="auto" w:frame="1"/>
        </w:rPr>
        <w:t> MADDE 1- </w:t>
      </w:r>
      <w:r w:rsidRPr="009A4CF6">
        <w:rPr>
          <w:rFonts w:ascii="Arial" w:hAnsi="Arial" w:cs="Arial"/>
          <w:color w:val="444444"/>
        </w:rPr>
        <w:t>15/6/2012 tarihli ve 2012/3305 sayılı Bakanlar Kurulu Karar ile</w:t>
      </w:r>
      <w:r w:rsidR="00F642C9">
        <w:rPr>
          <w:rFonts w:ascii="Arial" w:hAnsi="Arial" w:cs="Arial"/>
          <w:color w:val="444444"/>
        </w:rPr>
        <w:t xml:space="preserve"> yürürlüğe</w:t>
      </w:r>
    </w:p>
    <w:p w:rsidR="00CF6CB9" w:rsidRDefault="002A0CB6" w:rsidP="00F64CF1">
      <w:pPr>
        <w:shd w:val="clear" w:color="auto" w:fill="F4F4F2"/>
        <w:spacing w:after="0" w:line="240" w:lineRule="auto"/>
        <w:jc w:val="both"/>
        <w:textAlignment w:val="baseline"/>
        <w:rPr>
          <w:rFonts w:ascii="Arial" w:hAnsi="Arial" w:cs="Arial"/>
          <w:color w:val="444444"/>
        </w:rPr>
      </w:pPr>
      <w:r w:rsidRPr="009A4CF6">
        <w:rPr>
          <w:rFonts w:ascii="Arial" w:hAnsi="Arial" w:cs="Arial"/>
          <w:color w:val="444444"/>
        </w:rPr>
        <w:t>konulan Yatırımlarda</w:t>
      </w:r>
      <w:r w:rsidR="00F642C9">
        <w:rPr>
          <w:rFonts w:ascii="Arial" w:hAnsi="Arial" w:cs="Arial"/>
          <w:color w:val="444444"/>
        </w:rPr>
        <w:t xml:space="preserve"> </w:t>
      </w:r>
      <w:r w:rsidR="00CF6CB9" w:rsidRPr="009A4CF6">
        <w:rPr>
          <w:rFonts w:ascii="Arial" w:hAnsi="Arial" w:cs="Arial"/>
          <w:color w:val="444444"/>
        </w:rPr>
        <w:t>Devlet Yardımları Hakkında Kararın 8 inci maddesinin dördüncü fıkrası aşağıdaki şekilde değiştirilmiştir.</w:t>
      </w:r>
    </w:p>
    <w:p w:rsidR="00F642C9" w:rsidRPr="009A4CF6" w:rsidRDefault="00F642C9" w:rsidP="00F64CF1">
      <w:pPr>
        <w:shd w:val="clear" w:color="auto" w:fill="F4F4F2"/>
        <w:spacing w:after="0" w:line="240" w:lineRule="auto"/>
        <w:jc w:val="both"/>
        <w:textAlignment w:val="baseline"/>
        <w:rPr>
          <w:rFonts w:ascii="Arial" w:hAnsi="Arial" w:cs="Arial"/>
          <w:color w:val="444444"/>
        </w:rPr>
      </w:pPr>
    </w:p>
    <w:p w:rsidR="00CF6CB9" w:rsidRPr="009A4CF6" w:rsidRDefault="00CF6CB9"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“(4) EK-4’te belirtilen teşvik edilmeyecek yatırım konuları ile altına dayalı entegre madencilik yatırımları bu madde kapsamında değerlendirilmez.”</w:t>
      </w:r>
    </w:p>
    <w:p w:rsidR="00F64CF1" w:rsidRPr="009A4CF6" w:rsidRDefault="00F64CF1" w:rsidP="00F64CF1">
      <w:pPr>
        <w:shd w:val="clear" w:color="auto" w:fill="F4F4F2"/>
        <w:spacing w:after="225" w:line="240" w:lineRule="auto"/>
        <w:jc w:val="both"/>
        <w:textAlignment w:val="baseline"/>
        <w:rPr>
          <w:rFonts w:ascii="Arial" w:hAnsi="Arial" w:cs="Arial"/>
          <w:i/>
          <w:color w:val="444444"/>
          <w:u w:val="single"/>
        </w:rPr>
      </w:pPr>
      <w:r w:rsidRPr="009A4CF6">
        <w:rPr>
          <w:rFonts w:ascii="Arial" w:hAnsi="Arial" w:cs="Arial"/>
          <w:color w:val="444444"/>
        </w:rPr>
        <w:tab/>
      </w:r>
      <w:r w:rsidRPr="009A4CF6">
        <w:rPr>
          <w:rFonts w:ascii="Arial" w:hAnsi="Arial" w:cs="Arial"/>
          <w:i/>
          <w:color w:val="444444"/>
          <w:u w:val="single"/>
        </w:rPr>
        <w:t xml:space="preserve">Yapılan bu değişiklik hemen yürürlüğe girecek değişikliklerden olup bu değişiklikle kamuoyunda çok konuşulan ALTINA DAYALI ENTEGRE MADENCİLİK YATIRIMLARI teşvik edilmeyecek yatırımlar arasına alınmıştır. Yapılan bu değişiklik doğru mudur yoksa yanlış mıdır üzerinde çok düşünülmesi gereken bir konu olduğunu zannediyorum. </w:t>
      </w:r>
    </w:p>
    <w:p w:rsidR="00CF6CB9" w:rsidRPr="009A4CF6" w:rsidRDefault="00CF6CB9" w:rsidP="00F64CF1">
      <w:pPr>
        <w:shd w:val="clear" w:color="auto" w:fill="F4F4F2"/>
        <w:spacing w:after="0" w:line="240" w:lineRule="auto"/>
        <w:jc w:val="both"/>
        <w:textAlignment w:val="baseline"/>
        <w:rPr>
          <w:rFonts w:ascii="Arial" w:hAnsi="Arial" w:cs="Arial"/>
          <w:color w:val="444444"/>
        </w:rPr>
      </w:pPr>
      <w:r w:rsidRPr="009A4CF6">
        <w:rPr>
          <w:rFonts w:ascii="Arial" w:hAnsi="Arial" w:cs="Arial"/>
          <w:bCs/>
          <w:color w:val="000000"/>
          <w:bdr w:val="none" w:sz="0" w:space="0" w:color="auto" w:frame="1"/>
        </w:rPr>
        <w:t>MADDE 2- </w:t>
      </w:r>
      <w:r w:rsidRPr="009A4CF6">
        <w:rPr>
          <w:rFonts w:ascii="Arial" w:hAnsi="Arial" w:cs="Arial"/>
          <w:color w:val="444444"/>
        </w:rPr>
        <w:t>Aynı Kararın 9 uncu maddesinin sekizinci fıkrası yürürlükten kaldırılmıştır.</w:t>
      </w:r>
    </w:p>
    <w:p w:rsidR="002C6D28" w:rsidRPr="009A4CF6" w:rsidRDefault="00D51FF3" w:rsidP="00F64CF1">
      <w:pPr>
        <w:shd w:val="clear" w:color="auto" w:fill="F4F4F2"/>
        <w:spacing w:after="0" w:line="240" w:lineRule="auto"/>
        <w:jc w:val="both"/>
        <w:textAlignment w:val="baseline"/>
        <w:rPr>
          <w:rFonts w:ascii="Arial" w:hAnsi="Arial" w:cs="Arial"/>
          <w:i/>
          <w:color w:val="444444"/>
          <w:u w:val="single"/>
        </w:rPr>
      </w:pPr>
      <w:r w:rsidRPr="009A4CF6">
        <w:rPr>
          <w:rFonts w:ascii="Arial" w:hAnsi="Arial" w:cs="Arial"/>
          <w:color w:val="444444"/>
        </w:rPr>
        <w:t xml:space="preserve"> </w:t>
      </w:r>
    </w:p>
    <w:p w:rsidR="00D51FF3" w:rsidRPr="009A4CF6" w:rsidRDefault="00D51FF3" w:rsidP="002C6D28">
      <w:pPr>
        <w:shd w:val="clear" w:color="auto" w:fill="F4F4F2"/>
        <w:spacing w:after="0" w:line="240" w:lineRule="auto"/>
        <w:ind w:firstLine="708"/>
        <w:jc w:val="both"/>
        <w:textAlignment w:val="baseline"/>
        <w:rPr>
          <w:rFonts w:ascii="Arial" w:hAnsi="Arial" w:cs="Arial"/>
          <w:i/>
          <w:color w:val="444444"/>
          <w:u w:val="single"/>
        </w:rPr>
      </w:pPr>
      <w:r w:rsidRPr="009A4CF6">
        <w:rPr>
          <w:rFonts w:ascii="Arial" w:hAnsi="Arial" w:cs="Arial"/>
          <w:i/>
          <w:color w:val="444444"/>
          <w:u w:val="single"/>
        </w:rPr>
        <w:t xml:space="preserve">Kaldırılan bu fıkra et yönlü entegre büyükbaş hayvancılık yatırımları kapsamında yatırımcıların yurtdışından yapacağı ithalatı düzenleyen bir fıkra idi ve kaldırılarak bu yatırımcıların ithalattan kar etmesi önlenmiştir. Bence, kaldırılması  doğru bir düzenlemedir. </w:t>
      </w:r>
    </w:p>
    <w:p w:rsidR="00D51FF3" w:rsidRPr="009A4CF6" w:rsidRDefault="00D51FF3" w:rsidP="00F64CF1">
      <w:pPr>
        <w:shd w:val="clear" w:color="auto" w:fill="F4F4F2"/>
        <w:spacing w:after="0" w:line="240" w:lineRule="auto"/>
        <w:jc w:val="both"/>
        <w:textAlignment w:val="baseline"/>
        <w:rPr>
          <w:rFonts w:ascii="Arial" w:hAnsi="Arial" w:cs="Arial"/>
          <w:color w:val="444444"/>
        </w:rPr>
      </w:pPr>
    </w:p>
    <w:p w:rsidR="00D51FF3" w:rsidRPr="009A4CF6" w:rsidRDefault="00D51FF3" w:rsidP="00F64CF1">
      <w:pPr>
        <w:shd w:val="clear" w:color="auto" w:fill="F4F4F2"/>
        <w:spacing w:after="0" w:line="240" w:lineRule="auto"/>
        <w:jc w:val="both"/>
        <w:textAlignment w:val="baseline"/>
        <w:rPr>
          <w:rFonts w:ascii="Arial" w:hAnsi="Arial" w:cs="Arial"/>
          <w:color w:val="444444"/>
        </w:rPr>
      </w:pPr>
    </w:p>
    <w:p w:rsidR="00CF6CB9" w:rsidRPr="009A4CF6" w:rsidRDefault="00CF6CB9" w:rsidP="00F64CF1">
      <w:pPr>
        <w:shd w:val="clear" w:color="auto" w:fill="F4F4F2"/>
        <w:spacing w:after="0" w:line="240" w:lineRule="auto"/>
        <w:jc w:val="both"/>
        <w:textAlignment w:val="baseline"/>
        <w:rPr>
          <w:rFonts w:ascii="Arial" w:hAnsi="Arial" w:cs="Arial"/>
          <w:color w:val="444444"/>
        </w:rPr>
      </w:pPr>
      <w:r w:rsidRPr="009A4CF6">
        <w:rPr>
          <w:rFonts w:ascii="Arial" w:hAnsi="Arial" w:cs="Arial"/>
          <w:bCs/>
          <w:color w:val="000000"/>
          <w:bdr w:val="none" w:sz="0" w:space="0" w:color="auto" w:frame="1"/>
        </w:rPr>
        <w:t>MADDE 3- </w:t>
      </w:r>
      <w:r w:rsidRPr="009A4CF6">
        <w:rPr>
          <w:rFonts w:ascii="Arial" w:hAnsi="Arial" w:cs="Arial"/>
          <w:color w:val="444444"/>
        </w:rPr>
        <w:t>Aynı Kararın 11 inci maddesinin;</w:t>
      </w:r>
    </w:p>
    <w:p w:rsidR="007A5FE6" w:rsidRPr="009A4CF6" w:rsidRDefault="00CF6CB9" w:rsidP="00F64CF1">
      <w:pPr>
        <w:numPr>
          <w:ilvl w:val="0"/>
          <w:numId w:val="4"/>
        </w:numPr>
        <w:spacing w:before="300" w:after="120" w:line="240" w:lineRule="auto"/>
        <w:ind w:left="300"/>
        <w:jc w:val="both"/>
        <w:textAlignment w:val="baseline"/>
        <w:rPr>
          <w:rFonts w:ascii="Arial" w:hAnsi="Arial" w:cs="Arial"/>
          <w:i/>
          <w:color w:val="444444"/>
          <w:u w:val="single"/>
        </w:rPr>
      </w:pPr>
      <w:r w:rsidRPr="009A4CF6">
        <w:rPr>
          <w:rFonts w:ascii="Arial" w:hAnsi="Arial" w:cs="Arial"/>
          <w:color w:val="444444"/>
        </w:rPr>
        <w:t>Birinci fıkrasının (e) bendinde yer alan “ve (u) bentleri” ibaresi “bendi” şeklinde değiştirilmiş ve aynı fıkranın sonunda yer alan “17 nci maddenin birinci fıkrasının (u) bendi kapsamına giren yatırımlarda azami ilk on yıl, diğer yatırımlarda” ibaresi yürürlükten kaldırılmıştır.</w:t>
      </w:r>
      <w:r w:rsidR="00EC1594" w:rsidRPr="009A4CF6">
        <w:rPr>
          <w:rFonts w:ascii="Arial" w:hAnsi="Arial" w:cs="Arial"/>
          <w:color w:val="444444"/>
        </w:rPr>
        <w:t xml:space="preserve"> </w:t>
      </w:r>
    </w:p>
    <w:p w:rsidR="00CF6CB9" w:rsidRDefault="00EC1594" w:rsidP="007A5FE6">
      <w:pPr>
        <w:spacing w:before="300" w:after="120" w:line="240" w:lineRule="auto"/>
        <w:ind w:left="300"/>
        <w:jc w:val="both"/>
        <w:textAlignment w:val="baseline"/>
        <w:rPr>
          <w:rFonts w:ascii="Arial" w:hAnsi="Arial" w:cs="Arial"/>
          <w:i/>
          <w:color w:val="444444"/>
          <w:u w:val="single"/>
        </w:rPr>
      </w:pPr>
      <w:r w:rsidRPr="009A4CF6">
        <w:rPr>
          <w:rFonts w:ascii="Arial" w:hAnsi="Arial" w:cs="Arial"/>
          <w:i/>
          <w:color w:val="444444"/>
          <w:u w:val="single"/>
        </w:rPr>
        <w:t>Yapılan bu değişiklikle</w:t>
      </w:r>
      <w:r w:rsidR="007A5FE6" w:rsidRPr="009A4CF6">
        <w:rPr>
          <w:rFonts w:ascii="Arial" w:hAnsi="Arial" w:cs="Arial"/>
          <w:i/>
          <w:color w:val="444444"/>
          <w:u w:val="single"/>
        </w:rPr>
        <w:t xml:space="preserve"> hayvancılık konusundaki yatırımlarda faiz desteği kaldırılmıştır.</w:t>
      </w:r>
      <w:r w:rsidRPr="009A4CF6">
        <w:rPr>
          <w:rFonts w:ascii="Arial" w:hAnsi="Arial" w:cs="Arial"/>
          <w:i/>
          <w:color w:val="444444"/>
          <w:u w:val="single"/>
        </w:rPr>
        <w:t xml:space="preserve"> </w:t>
      </w:r>
    </w:p>
    <w:p w:rsidR="00F642C9" w:rsidRPr="009A4CF6" w:rsidRDefault="00F642C9" w:rsidP="007A5FE6">
      <w:pPr>
        <w:spacing w:before="300" w:after="120" w:line="240" w:lineRule="auto"/>
        <w:ind w:left="300"/>
        <w:jc w:val="both"/>
        <w:textAlignment w:val="baseline"/>
        <w:rPr>
          <w:rFonts w:ascii="Arial" w:hAnsi="Arial" w:cs="Arial"/>
          <w:i/>
          <w:color w:val="444444"/>
          <w:u w:val="single"/>
        </w:rPr>
      </w:pPr>
    </w:p>
    <w:p w:rsidR="00CF6CB9" w:rsidRPr="009A4CF6" w:rsidRDefault="00CF6CB9" w:rsidP="00F64CF1">
      <w:pPr>
        <w:numPr>
          <w:ilvl w:val="0"/>
          <w:numId w:val="4"/>
        </w:numPr>
        <w:spacing w:after="120" w:line="240" w:lineRule="auto"/>
        <w:ind w:left="300"/>
        <w:jc w:val="both"/>
        <w:textAlignment w:val="baseline"/>
        <w:rPr>
          <w:rFonts w:ascii="Arial" w:hAnsi="Arial" w:cs="Arial"/>
          <w:color w:val="444444"/>
        </w:rPr>
      </w:pPr>
      <w:r w:rsidRPr="009A4CF6">
        <w:rPr>
          <w:rFonts w:ascii="Arial" w:hAnsi="Arial" w:cs="Arial"/>
          <w:color w:val="444444"/>
        </w:rPr>
        <w:t>Dördüncü fıkrasında yer alan “birmilyon Türk Lirasını” ibaresi “birmilyonsekizyüzbin Türk Lirasını” şeklinde değiştirilmiştir.</w:t>
      </w:r>
    </w:p>
    <w:p w:rsidR="00885680" w:rsidRPr="009A4CF6" w:rsidRDefault="00885680" w:rsidP="002C6D28">
      <w:pPr>
        <w:spacing w:after="120" w:line="240" w:lineRule="auto"/>
        <w:jc w:val="both"/>
        <w:textAlignment w:val="baseline"/>
        <w:rPr>
          <w:rFonts w:ascii="Arial" w:hAnsi="Arial" w:cs="Arial"/>
          <w:color w:val="444444"/>
        </w:rPr>
      </w:pPr>
    </w:p>
    <w:p w:rsidR="002C6D28" w:rsidRPr="009A4CF6" w:rsidRDefault="002C6D28" w:rsidP="002C6D28">
      <w:pPr>
        <w:spacing w:after="120" w:line="240" w:lineRule="auto"/>
        <w:jc w:val="both"/>
        <w:textAlignment w:val="baseline"/>
        <w:rPr>
          <w:rFonts w:ascii="Arial" w:hAnsi="Arial" w:cs="Arial"/>
          <w:color w:val="444444"/>
        </w:rPr>
      </w:pPr>
      <w:r w:rsidRPr="009A4CF6">
        <w:rPr>
          <w:rFonts w:ascii="Arial" w:hAnsi="Arial" w:cs="Arial"/>
          <w:color w:val="444444"/>
        </w:rPr>
        <w:t xml:space="preserve">Maddenin eski şeklini hatırlayalım. </w:t>
      </w:r>
    </w:p>
    <w:p w:rsidR="002C6D28" w:rsidRPr="009A4CF6" w:rsidRDefault="002C6D28" w:rsidP="002C6D28">
      <w:pPr>
        <w:spacing w:after="120" w:line="240" w:lineRule="auto"/>
        <w:jc w:val="both"/>
        <w:textAlignment w:val="baseline"/>
        <w:rPr>
          <w:rFonts w:ascii="Arial" w:hAnsi="Arial" w:cs="Arial"/>
          <w:i/>
          <w:color w:val="444444"/>
          <w:u w:val="single"/>
          <w:shd w:val="clear" w:color="auto" w:fill="F4F4F2"/>
        </w:rPr>
      </w:pPr>
      <w:r w:rsidRPr="009A4CF6">
        <w:rPr>
          <w:rFonts w:ascii="Arial" w:hAnsi="Arial" w:cs="Arial"/>
          <w:i/>
          <w:color w:val="444444"/>
          <w:u w:val="single"/>
          <w:shd w:val="clear" w:color="auto" w:fill="F4F4F2"/>
        </w:rPr>
        <w:t> Faiz veya kâr payı desteği tutarı, bölge ayrımı olmaksızın AR-GE ve çevre yatırımlarında birmilyon Türk Lirasını, Teknoloji Odaklı Sanayi Hamlesi Programı kapsamında desteklenmesine karar verilen stratejik yatırımlarda sabit yatırım tutarının yüzde yirmisini aşmamak kaydıyla, diğer stratejik yatırımlarda ise sabit yatırım tutarının yüzde beşini aşmamak kaydıyla ellimilyon Türk Lirasını geçemez.</w:t>
      </w:r>
    </w:p>
    <w:p w:rsidR="00FE6B42" w:rsidRPr="009A4CF6" w:rsidRDefault="002C6D28" w:rsidP="002C6D28">
      <w:pPr>
        <w:spacing w:after="120" w:line="240" w:lineRule="auto"/>
        <w:jc w:val="both"/>
        <w:textAlignment w:val="baseline"/>
        <w:rPr>
          <w:rFonts w:ascii="Arial" w:hAnsi="Arial" w:cs="Arial"/>
          <w:color w:val="444444"/>
          <w:shd w:val="clear" w:color="auto" w:fill="F4F4F2"/>
        </w:rPr>
      </w:pPr>
      <w:r w:rsidRPr="009A4CF6">
        <w:rPr>
          <w:rFonts w:ascii="Arial" w:hAnsi="Arial" w:cs="Arial"/>
          <w:color w:val="444444"/>
          <w:shd w:val="clear" w:color="auto" w:fill="F4F4F2"/>
        </w:rPr>
        <w:tab/>
        <w:t xml:space="preserve">Yapılan </w:t>
      </w:r>
      <w:r w:rsidR="00FE6B42" w:rsidRPr="009A4CF6">
        <w:rPr>
          <w:rFonts w:ascii="Arial" w:hAnsi="Arial" w:cs="Arial"/>
          <w:color w:val="444444"/>
          <w:shd w:val="clear" w:color="auto" w:fill="F4F4F2"/>
        </w:rPr>
        <w:t xml:space="preserve">bu  </w:t>
      </w:r>
      <w:r w:rsidRPr="009A4CF6">
        <w:rPr>
          <w:rFonts w:ascii="Arial" w:hAnsi="Arial" w:cs="Arial"/>
          <w:color w:val="444444"/>
          <w:shd w:val="clear" w:color="auto" w:fill="F4F4F2"/>
        </w:rPr>
        <w:t xml:space="preserve">değişiklikle faiz ve kar payı desteği </w:t>
      </w:r>
      <w:r w:rsidRPr="009A4CF6">
        <w:rPr>
          <w:rFonts w:ascii="Arial" w:hAnsi="Arial" w:cs="Arial"/>
          <w:color w:val="444444"/>
          <w:shd w:val="clear" w:color="auto" w:fill="F4F4F2"/>
        </w:rPr>
        <w:tab/>
        <w:t>AR-GE ve çevre yatırımlarında en az birmilyonsekizyüzbin (1.800.000) TL. olacak şekilde değiştirilmiştir.</w:t>
      </w:r>
    </w:p>
    <w:p w:rsidR="002C6D28" w:rsidRPr="009A4CF6" w:rsidRDefault="002C6D28" w:rsidP="002C6D28">
      <w:pPr>
        <w:spacing w:after="120" w:line="240" w:lineRule="auto"/>
        <w:jc w:val="both"/>
        <w:textAlignment w:val="baseline"/>
        <w:rPr>
          <w:rFonts w:ascii="Arial" w:hAnsi="Arial" w:cs="Arial"/>
          <w:color w:val="444444"/>
        </w:rPr>
      </w:pPr>
      <w:r w:rsidRPr="009A4CF6">
        <w:rPr>
          <w:rFonts w:ascii="Arial" w:hAnsi="Arial" w:cs="Arial"/>
          <w:color w:val="444444"/>
          <w:shd w:val="clear" w:color="auto" w:fill="F4F4F2"/>
        </w:rPr>
        <w:lastRenderedPageBreak/>
        <w:t xml:space="preserve"> </w:t>
      </w:r>
    </w:p>
    <w:p w:rsidR="00CF6CB9" w:rsidRPr="009A4CF6" w:rsidRDefault="00CF6CB9" w:rsidP="00F64CF1">
      <w:pPr>
        <w:numPr>
          <w:ilvl w:val="0"/>
          <w:numId w:val="4"/>
        </w:numPr>
        <w:spacing w:after="120" w:line="240" w:lineRule="auto"/>
        <w:ind w:left="300"/>
        <w:jc w:val="both"/>
        <w:textAlignment w:val="baseline"/>
        <w:rPr>
          <w:rFonts w:ascii="Arial" w:hAnsi="Arial" w:cs="Arial"/>
          <w:color w:val="444444"/>
        </w:rPr>
      </w:pPr>
      <w:r w:rsidRPr="009A4CF6">
        <w:rPr>
          <w:rFonts w:ascii="Arial" w:hAnsi="Arial" w:cs="Arial"/>
          <w:color w:val="444444"/>
        </w:rPr>
        <w:t>Yedinci fıkrası aşağıdaki şekilde değiştirilmiştir.</w:t>
      </w:r>
    </w:p>
    <w:p w:rsidR="00CF6CB9" w:rsidRPr="009A4CF6" w:rsidRDefault="00CF6CB9"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“(7) 17 nci maddenin birinci fıkrasının (n) bendi kapsamına giren yatırım konularındaki kullanılmış komple tesis hariç olmak üzere kullanılmış makine ve teçhizat ile belediyelerin yapacağı yatırımlar için faiz veya kar payı desteği uygulanmaz.”</w:t>
      </w:r>
    </w:p>
    <w:p w:rsidR="00FE6B42" w:rsidRPr="009A4CF6" w:rsidRDefault="00FE6B42"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ab/>
        <w:t xml:space="preserve">17 inci maddenin 1-n fıkrası aşağıdaki gibi olup yüksek teknolojili sanayi sınıfında üretim yapacak yatırımları kapsamaktadır. </w:t>
      </w:r>
    </w:p>
    <w:p w:rsidR="00FE6B42" w:rsidRPr="009A4CF6" w:rsidRDefault="00FE6B42" w:rsidP="00F64CF1">
      <w:pPr>
        <w:shd w:val="clear" w:color="auto" w:fill="F4F4F2"/>
        <w:spacing w:after="225" w:line="240" w:lineRule="auto"/>
        <w:jc w:val="both"/>
        <w:textAlignment w:val="baseline"/>
        <w:rPr>
          <w:rFonts w:ascii="Arial" w:hAnsi="Arial" w:cs="Arial"/>
          <w:i/>
          <w:color w:val="444444"/>
          <w:u w:val="single"/>
          <w:shd w:val="clear" w:color="auto" w:fill="F4F4F2"/>
        </w:rPr>
      </w:pPr>
      <w:r w:rsidRPr="009A4CF6">
        <w:rPr>
          <w:rFonts w:ascii="Arial" w:hAnsi="Arial" w:cs="Arial"/>
          <w:i/>
          <w:color w:val="444444"/>
          <w:u w:val="single"/>
          <w:shd w:val="clear" w:color="auto" w:fill="F4F4F2"/>
        </w:rPr>
        <w:t> Ekonomik İşbirliği ve Kalkınma Teşkilatı (OECD) teknoloji yoğunluk tanımına göre yüksek teknolojili sanayi sınıfında yer alan ürünlerin üretimine yönelik yatırımlar (US-97 Kodu: 2423, 30, 32, 33 ve 353).</w:t>
      </w:r>
    </w:p>
    <w:p w:rsidR="00FE6B42" w:rsidRPr="009A4CF6" w:rsidRDefault="00FE6B42" w:rsidP="00F64CF1">
      <w:pPr>
        <w:shd w:val="clear" w:color="auto" w:fill="F4F4F2"/>
        <w:spacing w:after="225" w:line="240" w:lineRule="auto"/>
        <w:jc w:val="both"/>
        <w:textAlignment w:val="baseline"/>
        <w:rPr>
          <w:rFonts w:ascii="Arial" w:hAnsi="Arial" w:cs="Arial"/>
          <w:color w:val="444444"/>
          <w:shd w:val="clear" w:color="auto" w:fill="F4F4F2"/>
        </w:rPr>
      </w:pPr>
      <w:r w:rsidRPr="009A4CF6">
        <w:rPr>
          <w:rFonts w:ascii="Arial" w:hAnsi="Arial" w:cs="Arial"/>
          <w:color w:val="444444"/>
          <w:shd w:val="clear" w:color="auto" w:fill="F4F4F2"/>
        </w:rPr>
        <w:tab/>
        <w:t xml:space="preserve">Yapılan değişiklikle </w:t>
      </w:r>
      <w:r w:rsidR="00672EC0" w:rsidRPr="009A4CF6">
        <w:rPr>
          <w:rFonts w:ascii="Arial" w:hAnsi="Arial" w:cs="Arial"/>
          <w:color w:val="444444"/>
          <w:shd w:val="clear" w:color="auto" w:fill="F4F4F2"/>
        </w:rPr>
        <w:t xml:space="preserve">kullanılmış makine ve teçhizat yatırımları ile belediyelerin yapacağı yatırımlar için faiz veya kar payı desteği uygulanmayacak, ancak yüksek teknolojili yatırımlar için kullanılmış makine ve teçhizat yatırımlarında faiz veya kar payı desteği verilecektir. </w:t>
      </w:r>
    </w:p>
    <w:p w:rsidR="00CF6CB9" w:rsidRPr="009A4CF6" w:rsidRDefault="00CF6CB9" w:rsidP="00F64CF1">
      <w:pPr>
        <w:shd w:val="clear" w:color="auto" w:fill="F4F4F2"/>
        <w:spacing w:after="0" w:line="240" w:lineRule="auto"/>
        <w:jc w:val="both"/>
        <w:textAlignment w:val="baseline"/>
        <w:rPr>
          <w:rFonts w:ascii="Arial" w:hAnsi="Arial" w:cs="Arial"/>
          <w:color w:val="444444"/>
        </w:rPr>
      </w:pPr>
      <w:r w:rsidRPr="009A4CF6">
        <w:rPr>
          <w:rFonts w:ascii="Arial" w:hAnsi="Arial" w:cs="Arial"/>
          <w:bCs/>
          <w:color w:val="000000"/>
          <w:bdr w:val="none" w:sz="0" w:space="0" w:color="auto" w:frame="1"/>
        </w:rPr>
        <w:t>MADDE 4- </w:t>
      </w:r>
      <w:r w:rsidRPr="009A4CF6">
        <w:rPr>
          <w:rFonts w:ascii="Arial" w:hAnsi="Arial" w:cs="Arial"/>
          <w:color w:val="444444"/>
        </w:rPr>
        <w:t>Aynı Kararın 12 nci maddesine aşağıdaki fıkra eklenmiştir.</w:t>
      </w:r>
    </w:p>
    <w:p w:rsidR="00672EC0" w:rsidRPr="009A4CF6" w:rsidRDefault="00672EC0" w:rsidP="00F64CF1">
      <w:pPr>
        <w:shd w:val="clear" w:color="auto" w:fill="F4F4F2"/>
        <w:spacing w:after="0" w:line="240" w:lineRule="auto"/>
        <w:jc w:val="both"/>
        <w:textAlignment w:val="baseline"/>
        <w:rPr>
          <w:rFonts w:ascii="Arial" w:hAnsi="Arial" w:cs="Arial"/>
          <w:color w:val="444444"/>
        </w:rPr>
      </w:pPr>
    </w:p>
    <w:p w:rsidR="00CF6CB9" w:rsidRPr="009A4CF6" w:rsidRDefault="00CF6CB9"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“(10) Teşvik belgesi düzenlenmesine ilişkin müracaat aşamasında talep edilmesi halinde, vergi indiriminden yararlanılmamak kaydıyla, dördüncü ve beşinci fıkrada belirtilen oranlar 15 inci maddenin birinci ve üçüncü fıkralarında belirtilen yatırıma katkı oranının yarısı kadar artırılarak uygulanır.”</w:t>
      </w:r>
    </w:p>
    <w:p w:rsidR="00672EC0" w:rsidRPr="009A4CF6" w:rsidRDefault="00672EC0"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ab/>
        <w:t xml:space="preserve">Söz konusu 12 inci madde teşvik belgelerine sigorta primi işveren desteğini düzenlemekte olup yapılan bu değişiklikle, </w:t>
      </w:r>
      <w:r w:rsidR="007B0C77" w:rsidRPr="009A4CF6">
        <w:rPr>
          <w:rFonts w:ascii="Arial" w:hAnsi="Arial" w:cs="Arial"/>
          <w:color w:val="444444"/>
        </w:rPr>
        <w:t>gerek bölgesel teşvik uygulamaları ve gerekse büyük ölçekli yatırımlar ve de stratejik yatırımlarda,</w:t>
      </w:r>
      <w:r w:rsidR="00F642C9">
        <w:rPr>
          <w:rFonts w:ascii="Arial" w:hAnsi="Arial" w:cs="Arial"/>
          <w:color w:val="444444"/>
        </w:rPr>
        <w:t xml:space="preserve"> </w:t>
      </w:r>
      <w:r w:rsidRPr="009A4CF6">
        <w:rPr>
          <w:rFonts w:ascii="Arial" w:hAnsi="Arial" w:cs="Arial"/>
          <w:color w:val="444444"/>
        </w:rPr>
        <w:t>azami sigorta primi destek oranı</w:t>
      </w:r>
      <w:r w:rsidR="007B0C77" w:rsidRPr="009A4CF6">
        <w:rPr>
          <w:rFonts w:ascii="Arial" w:hAnsi="Arial" w:cs="Arial"/>
          <w:color w:val="444444"/>
        </w:rPr>
        <w:t xml:space="preserve"> teşvik tebliğinin 15 inci maddesinin 1 ve 3 üncü fıkralarında belirtilen oranların yarısı kadar </w:t>
      </w:r>
      <w:r w:rsidRPr="009A4CF6">
        <w:rPr>
          <w:rFonts w:ascii="Arial" w:hAnsi="Arial" w:cs="Arial"/>
          <w:color w:val="444444"/>
        </w:rPr>
        <w:t xml:space="preserve"> </w:t>
      </w:r>
      <w:r w:rsidR="007B0C77" w:rsidRPr="009A4CF6">
        <w:rPr>
          <w:rFonts w:ascii="Arial" w:hAnsi="Arial" w:cs="Arial"/>
          <w:color w:val="444444"/>
        </w:rPr>
        <w:t xml:space="preserve">artırılmaktadır. </w:t>
      </w:r>
    </w:p>
    <w:p w:rsidR="007B0C77" w:rsidRPr="009A4CF6" w:rsidRDefault="007B0C77" w:rsidP="00F64CF1">
      <w:pPr>
        <w:shd w:val="clear" w:color="auto" w:fill="F4F4F2"/>
        <w:spacing w:after="225" w:line="240" w:lineRule="auto"/>
        <w:jc w:val="both"/>
        <w:textAlignment w:val="baseline"/>
        <w:rPr>
          <w:rFonts w:ascii="Arial" w:hAnsi="Arial" w:cs="Arial"/>
          <w:color w:val="444444"/>
        </w:rPr>
      </w:pPr>
      <w:r w:rsidRPr="009A4CF6">
        <w:rPr>
          <w:rFonts w:ascii="Arial" w:hAnsi="Arial" w:cs="Arial"/>
          <w:color w:val="444444"/>
        </w:rPr>
        <w:tab/>
        <w:t xml:space="preserve">Tabloyu </w:t>
      </w:r>
      <w:r w:rsidR="00763C13" w:rsidRPr="009A4CF6">
        <w:rPr>
          <w:rFonts w:ascii="Arial" w:hAnsi="Arial" w:cs="Arial"/>
          <w:color w:val="444444"/>
        </w:rPr>
        <w:t>hatırlatalım</w:t>
      </w:r>
      <w:r w:rsidRPr="009A4CF6">
        <w:rPr>
          <w:rFonts w:ascii="Arial" w:hAnsi="Arial" w:cs="Arial"/>
          <w:color w:val="444444"/>
        </w:rPr>
        <w:t xml:space="preserve">. </w:t>
      </w:r>
    </w:p>
    <w:p w:rsidR="007B0C77" w:rsidRDefault="007B0C77" w:rsidP="00F64CF1">
      <w:pPr>
        <w:shd w:val="clear" w:color="auto" w:fill="F4F4F2"/>
        <w:spacing w:after="225" w:line="240" w:lineRule="auto"/>
        <w:jc w:val="both"/>
        <w:textAlignment w:val="baseline"/>
        <w:rPr>
          <w:rFonts w:ascii="Arial" w:hAnsi="Arial" w:cs="Arial"/>
          <w:i/>
          <w:color w:val="444444"/>
          <w:u w:val="single"/>
        </w:rPr>
      </w:pPr>
      <w:r w:rsidRPr="009A4CF6">
        <w:rPr>
          <w:rFonts w:ascii="Arial" w:hAnsi="Arial" w:cs="Arial"/>
          <w:color w:val="444444"/>
        </w:rPr>
        <w:tab/>
      </w:r>
      <w:r w:rsidR="00763C13" w:rsidRPr="009A4CF6">
        <w:rPr>
          <w:rFonts w:ascii="Arial" w:hAnsi="Arial" w:cs="Arial"/>
          <w:i/>
          <w:color w:val="444444"/>
          <w:u w:val="single"/>
        </w:rPr>
        <w:t>4) Yararlanılan sigorta primi işveren hissesi desteğinin tutarı, bölgesel teşvik uygulamaları kapsamında desteklenen yatırımlarda sabit yatırım tutarının aşağıda belirtilen oranlarını geçemez.</w:t>
      </w:r>
    </w:p>
    <w:tbl>
      <w:tblPr>
        <w:tblStyle w:val="TabloKlavuzu"/>
        <w:tblW w:w="9062" w:type="dxa"/>
        <w:tblInd w:w="-3" w:type="dxa"/>
        <w:tblLook w:val="04A0" w:firstRow="1" w:lastRow="0" w:firstColumn="1" w:lastColumn="0" w:noHBand="0" w:noVBand="1"/>
      </w:tblPr>
      <w:tblGrid>
        <w:gridCol w:w="4531"/>
        <w:gridCol w:w="4531"/>
      </w:tblGrid>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b/>
                <w:bCs/>
                <w:color w:val="000000"/>
                <w:sz w:val="20"/>
                <w:szCs w:val="20"/>
              </w:rPr>
            </w:pPr>
            <w:r>
              <w:rPr>
                <w:rFonts w:ascii="Arial" w:hAnsi="Arial" w:cs="Arial"/>
                <w:b/>
                <w:bCs/>
                <w:color w:val="000000"/>
                <w:spacing w:val="-3"/>
                <w:sz w:val="20"/>
                <w:szCs w:val="20"/>
                <w:bdr w:val="none" w:sz="0" w:space="0" w:color="auto" w:frame="1"/>
              </w:rPr>
              <w:t xml:space="preserve">Bölgesel teşvik uygulamaları - </w:t>
            </w:r>
            <w:r w:rsidRPr="007B0C77">
              <w:rPr>
                <w:rFonts w:ascii="Arial" w:hAnsi="Arial" w:cs="Arial"/>
                <w:b/>
                <w:bCs/>
                <w:color w:val="000000"/>
                <w:spacing w:val="-3"/>
                <w:sz w:val="20"/>
                <w:szCs w:val="20"/>
                <w:bdr w:val="none" w:sz="0" w:space="0" w:color="auto" w:frame="1"/>
              </w:rPr>
              <w:t>Bölgeler</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bdr w:val="none" w:sz="0" w:space="0" w:color="auto" w:frame="1"/>
              </w:rPr>
              <w:t>Sigorta Primi İşveren Hissesi Desteğinin</w:t>
            </w:r>
            <w:r w:rsidRPr="007B0C77">
              <w:rPr>
                <w:rFonts w:ascii="Arial" w:hAnsi="Arial" w:cs="Arial"/>
                <w:color w:val="000000"/>
                <w:sz w:val="20"/>
                <w:szCs w:val="20"/>
                <w:bdr w:val="none" w:sz="0" w:space="0" w:color="auto" w:frame="1"/>
              </w:rPr>
              <w:br/>
              <w:t>Sabit Yatırım Tutarına Oranı  (%)</w:t>
            </w:r>
          </w:p>
        </w:tc>
      </w:tr>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1</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10</w:t>
            </w:r>
          </w:p>
        </w:tc>
      </w:tr>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2</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15</w:t>
            </w:r>
          </w:p>
        </w:tc>
      </w:tr>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3</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20</w:t>
            </w:r>
          </w:p>
        </w:tc>
      </w:tr>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4</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25</w:t>
            </w:r>
          </w:p>
        </w:tc>
      </w:tr>
      <w:tr w:rsidR="009D2F39" w:rsidTr="009D2F39">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5</w:t>
            </w:r>
          </w:p>
        </w:tc>
        <w:tc>
          <w:tcPr>
            <w:tcW w:w="4531" w:type="dxa"/>
            <w:tcBorders>
              <w:top w:val="single" w:sz="6" w:space="0" w:color="auto"/>
              <w:left w:val="single" w:sz="6" w:space="0" w:color="auto"/>
              <w:bottom w:val="single" w:sz="6" w:space="0" w:color="auto"/>
              <w:right w:val="single" w:sz="6" w:space="0" w:color="auto"/>
            </w:tcBorders>
            <w:shd w:val="clear" w:color="auto" w:fill="auto"/>
            <w:vAlign w:val="center"/>
          </w:tcPr>
          <w:p w:rsidR="009D2F39" w:rsidRPr="007B0C77" w:rsidRDefault="009D2F39" w:rsidP="009D2F39">
            <w:pPr>
              <w:spacing w:after="0" w:line="240" w:lineRule="auto"/>
              <w:jc w:val="center"/>
              <w:rPr>
                <w:rFonts w:ascii="Arial" w:hAnsi="Arial" w:cs="Arial"/>
                <w:color w:val="000000"/>
                <w:sz w:val="20"/>
                <w:szCs w:val="20"/>
              </w:rPr>
            </w:pPr>
            <w:r w:rsidRPr="007B0C77">
              <w:rPr>
                <w:rFonts w:ascii="Arial" w:hAnsi="Arial" w:cs="Arial"/>
                <w:color w:val="000000"/>
                <w:sz w:val="20"/>
                <w:szCs w:val="20"/>
              </w:rPr>
              <w:t>35</w:t>
            </w:r>
          </w:p>
        </w:tc>
      </w:tr>
    </w:tbl>
    <w:p w:rsidR="00F642C9" w:rsidRPr="009A4CF6" w:rsidRDefault="00F642C9" w:rsidP="00F64CF1">
      <w:pPr>
        <w:shd w:val="clear" w:color="auto" w:fill="F4F4F2"/>
        <w:spacing w:after="225" w:line="240" w:lineRule="auto"/>
        <w:jc w:val="both"/>
        <w:textAlignment w:val="baseline"/>
        <w:rPr>
          <w:rFonts w:ascii="Arial" w:hAnsi="Arial" w:cs="Arial"/>
          <w:i/>
          <w:color w:val="444444"/>
          <w:u w:val="single"/>
        </w:rPr>
      </w:pPr>
    </w:p>
    <w:p w:rsidR="00763C13" w:rsidRPr="00F642C9" w:rsidRDefault="00763C13" w:rsidP="00F64CF1">
      <w:pPr>
        <w:shd w:val="clear" w:color="auto" w:fill="F4F4F2"/>
        <w:spacing w:after="225" w:line="240" w:lineRule="auto"/>
        <w:jc w:val="both"/>
        <w:textAlignment w:val="baseline"/>
        <w:rPr>
          <w:rFonts w:ascii="Arial" w:hAnsi="Arial" w:cs="Arial"/>
          <w:i/>
          <w:color w:val="444444"/>
          <w:u w:val="single"/>
        </w:rPr>
      </w:pPr>
      <w:r w:rsidRPr="00F642C9">
        <w:rPr>
          <w:rFonts w:ascii="Arial" w:hAnsi="Arial" w:cs="Arial"/>
          <w:i/>
          <w:color w:val="444444"/>
          <w:u w:val="single"/>
          <w:shd w:val="clear" w:color="auto" w:fill="F4F4F2"/>
        </w:rPr>
        <w:t>5) Stratejik yatırımlarda sigorta primi işveren hissesi desteğinin miktarı 1, 2, 3, 4 ve 5 inci bölgelerde sabit yatırım tutarının yüzde on beşini geçemez.</w:t>
      </w:r>
      <w:r w:rsidRPr="00F642C9">
        <w:rPr>
          <w:rFonts w:ascii="Arial" w:hAnsi="Arial" w:cs="Arial"/>
          <w:i/>
          <w:color w:val="444444"/>
          <w:u w:val="single"/>
          <w:shd w:val="clear" w:color="auto" w:fill="F4F4F2"/>
        </w:rPr>
        <w:t xml:space="preserve"> </w:t>
      </w:r>
      <w:r w:rsidRPr="00F642C9">
        <w:rPr>
          <w:rFonts w:ascii="Arial" w:hAnsi="Arial" w:cs="Arial"/>
          <w:i/>
          <w:color w:val="444444"/>
          <w:u w:val="single"/>
          <w:shd w:val="clear" w:color="auto" w:fill="F4F4F2"/>
        </w:rPr>
        <w:t>Teknoloji Odaklı Sanayi Hamlesi Programı kapsamında desteklenmesine karar verilen stratejik yatırımlarda bu kısıt uygulanmaz.</w:t>
      </w:r>
    </w:p>
    <w:p w:rsidR="00F329AD" w:rsidRPr="00F642C9" w:rsidRDefault="007B0C77"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ab/>
      </w:r>
      <w:r w:rsidR="00F329AD" w:rsidRPr="00F642C9">
        <w:rPr>
          <w:rFonts w:ascii="Arial" w:hAnsi="Arial" w:cs="Arial"/>
          <w:color w:val="444444"/>
        </w:rPr>
        <w:tab/>
        <w:t>15 inci maddenin 1 ve 3. Fıkralarını da aşağıya alalım.</w:t>
      </w:r>
    </w:p>
    <w:p w:rsidR="00F329AD" w:rsidRDefault="00F329AD" w:rsidP="00F329AD">
      <w:pPr>
        <w:shd w:val="clear" w:color="auto" w:fill="F4F4F2"/>
        <w:spacing w:after="225" w:line="240" w:lineRule="auto"/>
        <w:textAlignment w:val="baseline"/>
        <w:rPr>
          <w:rFonts w:ascii="Arial" w:hAnsi="Arial" w:cs="Arial"/>
          <w:i/>
          <w:color w:val="444444"/>
          <w:u w:val="single"/>
        </w:rPr>
      </w:pPr>
      <w:r w:rsidRPr="00F642C9">
        <w:rPr>
          <w:rFonts w:ascii="Arial" w:hAnsi="Arial" w:cs="Arial"/>
          <w:b/>
          <w:bCs/>
          <w:i/>
          <w:color w:val="444444"/>
          <w:u w:val="single"/>
        </w:rPr>
        <w:t>Vergi indirimi</w:t>
      </w:r>
      <w:r w:rsidRPr="00F642C9">
        <w:rPr>
          <w:rFonts w:ascii="Arial" w:hAnsi="Arial" w:cs="Arial"/>
          <w:i/>
          <w:color w:val="444444"/>
          <w:u w:val="single"/>
        </w:rPr>
        <w:br/>
      </w:r>
      <w:r w:rsidRPr="00F642C9">
        <w:rPr>
          <w:rFonts w:ascii="Arial" w:hAnsi="Arial" w:cs="Arial"/>
          <w:b/>
          <w:bCs/>
          <w:i/>
          <w:color w:val="444444"/>
          <w:u w:val="single"/>
        </w:rPr>
        <w:t>MADDE 15 –</w:t>
      </w:r>
      <w:r w:rsidRPr="00F642C9">
        <w:rPr>
          <w:rFonts w:ascii="Arial" w:hAnsi="Arial" w:cs="Arial"/>
          <w:i/>
          <w:color w:val="444444"/>
          <w:u w:val="single"/>
        </w:rPr>
        <w:t xml:space="preserve"> (1) Bölgesel teşvik uygulamaları kapsamında gerçekleştirilecek yatırımlarda, </w:t>
      </w:r>
      <w:r w:rsidRPr="00F642C9">
        <w:rPr>
          <w:rFonts w:ascii="Arial" w:hAnsi="Arial" w:cs="Arial"/>
          <w:i/>
          <w:color w:val="444444"/>
          <w:u w:val="single"/>
        </w:rPr>
        <w:lastRenderedPageBreak/>
        <w:t>5520 sayılı Kanunun 32/A maddesi çerçevesinde gelir veya kurumlar vergisi, öngörülen yatırıma katkı tutarına ulaşıncaya kadar aşağıda belirtilen oranlarda indirimli olarak uygulanır.</w:t>
      </w:r>
    </w:p>
    <w:p w:rsidR="009D2F39" w:rsidRDefault="009D2F39" w:rsidP="00F329AD">
      <w:pPr>
        <w:shd w:val="clear" w:color="auto" w:fill="F4F4F2"/>
        <w:spacing w:after="225" w:line="240" w:lineRule="auto"/>
        <w:textAlignment w:val="baseline"/>
        <w:rPr>
          <w:rFonts w:ascii="Arial" w:hAnsi="Arial" w:cs="Arial"/>
          <w:i/>
          <w:color w:val="444444"/>
          <w:u w:val="single"/>
        </w:rPr>
      </w:pPr>
      <w:r>
        <w:rPr>
          <w:rFonts w:ascii="Arial" w:hAnsi="Arial" w:cs="Arial"/>
          <w:i/>
          <w:color w:val="444444"/>
          <w:u w:val="single"/>
        </w:rPr>
        <w:t xml:space="preserve">Bölgesel Teşvik Uygulamaları </w:t>
      </w:r>
    </w:p>
    <w:tbl>
      <w:tblPr>
        <w:tblStyle w:val="TabloKlavuzu"/>
        <w:tblW w:w="0" w:type="auto"/>
        <w:tblInd w:w="-3" w:type="dxa"/>
        <w:tblLook w:val="04A0" w:firstRow="1" w:lastRow="0" w:firstColumn="1" w:lastColumn="0" w:noHBand="0" w:noVBand="1"/>
      </w:tblPr>
      <w:tblGrid>
        <w:gridCol w:w="1017"/>
        <w:gridCol w:w="2328"/>
        <w:gridCol w:w="4729"/>
      </w:tblGrid>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b/>
                <w:bCs/>
                <w:color w:val="444444"/>
                <w:sz w:val="20"/>
                <w:szCs w:val="20"/>
              </w:rPr>
              <w:t>Bölgeler</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Yatırıma katkı oranı (%)</w:t>
            </w:r>
          </w:p>
        </w:tc>
        <w:tc>
          <w:tcPr>
            <w:tcW w:w="0" w:type="auto"/>
            <w:tcBorders>
              <w:top w:val="nil"/>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Kurumlar vergisi veya gelir vergisi indirim oranı (%)</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1</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15</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50</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2</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20</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55</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3</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25</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60</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4</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30</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70</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5</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40</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80</w:t>
            </w:r>
          </w:p>
        </w:tc>
      </w:tr>
      <w:tr w:rsidR="009D2F39" w:rsidTr="009D2F39">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both"/>
              <w:textAlignment w:val="baseline"/>
              <w:rPr>
                <w:rFonts w:ascii="Arial" w:hAnsi="Arial" w:cs="Arial"/>
                <w:color w:val="444444"/>
                <w:sz w:val="20"/>
                <w:szCs w:val="20"/>
              </w:rPr>
            </w:pPr>
            <w:r w:rsidRPr="00F642C9">
              <w:rPr>
                <w:rFonts w:ascii="Arial" w:hAnsi="Arial" w:cs="Arial"/>
                <w:color w:val="444444"/>
                <w:sz w:val="20"/>
                <w:szCs w:val="20"/>
              </w:rPr>
              <w:t>6</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50</w:t>
            </w:r>
          </w:p>
        </w:tc>
        <w:tc>
          <w:tcPr>
            <w:tcW w:w="0" w:type="auto"/>
            <w:tcBorders>
              <w:top w:val="single" w:sz="6" w:space="0" w:color="auto"/>
              <w:left w:val="single" w:sz="6" w:space="0" w:color="auto"/>
              <w:bottom w:val="single" w:sz="6" w:space="0" w:color="000000"/>
              <w:right w:val="single" w:sz="6" w:space="0" w:color="000000"/>
            </w:tcBorders>
            <w:shd w:val="clear" w:color="auto" w:fill="auto"/>
            <w:vAlign w:val="center"/>
          </w:tcPr>
          <w:p w:rsidR="009D2F39" w:rsidRPr="00F642C9" w:rsidRDefault="009D2F39" w:rsidP="009D2F39">
            <w:pPr>
              <w:shd w:val="clear" w:color="auto" w:fill="F4F4F2"/>
              <w:spacing w:after="225" w:line="240" w:lineRule="auto"/>
              <w:jc w:val="center"/>
              <w:textAlignment w:val="baseline"/>
              <w:rPr>
                <w:rFonts w:ascii="Arial" w:hAnsi="Arial" w:cs="Arial"/>
                <w:color w:val="444444"/>
                <w:sz w:val="20"/>
                <w:szCs w:val="20"/>
              </w:rPr>
            </w:pPr>
            <w:r w:rsidRPr="00F642C9">
              <w:rPr>
                <w:rFonts w:ascii="Arial" w:hAnsi="Arial" w:cs="Arial"/>
                <w:color w:val="444444"/>
                <w:sz w:val="20"/>
                <w:szCs w:val="20"/>
              </w:rPr>
              <w:t>90</w:t>
            </w:r>
          </w:p>
        </w:tc>
      </w:tr>
    </w:tbl>
    <w:p w:rsidR="009D2F39" w:rsidRPr="00F642C9" w:rsidRDefault="009D2F39" w:rsidP="00F329AD">
      <w:pPr>
        <w:shd w:val="clear" w:color="auto" w:fill="F4F4F2"/>
        <w:spacing w:after="225" w:line="240" w:lineRule="auto"/>
        <w:textAlignment w:val="baseline"/>
        <w:rPr>
          <w:rFonts w:ascii="Arial" w:hAnsi="Arial" w:cs="Arial"/>
          <w:i/>
          <w:color w:val="444444"/>
          <w:u w:val="single"/>
        </w:rPr>
      </w:pPr>
    </w:p>
    <w:p w:rsidR="00F329AD" w:rsidRPr="00F642C9" w:rsidRDefault="00F329AD" w:rsidP="00F329AD">
      <w:pPr>
        <w:shd w:val="clear" w:color="auto" w:fill="F4F4F2"/>
        <w:spacing w:after="225" w:line="240" w:lineRule="auto"/>
        <w:jc w:val="both"/>
        <w:textAlignment w:val="baseline"/>
        <w:rPr>
          <w:rFonts w:ascii="Arial" w:hAnsi="Arial" w:cs="Arial"/>
          <w:i/>
          <w:color w:val="444444"/>
          <w:u w:val="single"/>
        </w:rPr>
      </w:pPr>
      <w:r w:rsidRPr="00F329AD">
        <w:rPr>
          <w:rFonts w:ascii="Arial" w:hAnsi="Arial" w:cs="Arial"/>
          <w:color w:val="444444"/>
          <w:sz w:val="24"/>
          <w:szCs w:val="24"/>
        </w:rPr>
        <w:t xml:space="preserve"> </w:t>
      </w:r>
      <w:r w:rsidRPr="00F642C9">
        <w:rPr>
          <w:rFonts w:ascii="Arial" w:hAnsi="Arial" w:cs="Arial"/>
          <w:i/>
          <w:color w:val="444444"/>
          <w:u w:val="single"/>
        </w:rPr>
        <w:t>(3) Stratejik yatırımlar için tüm bölgelerde uygulanacak vergi indirimi oranı yüzde doksan ve yatırıma katkı oranı yüzde ellidir.</w:t>
      </w:r>
    </w:p>
    <w:p w:rsidR="00F329AD" w:rsidRPr="00F642C9" w:rsidRDefault="00F329AD" w:rsidP="00F64CF1">
      <w:pPr>
        <w:shd w:val="clear" w:color="auto" w:fill="F4F4F2"/>
        <w:spacing w:after="225" w:line="240" w:lineRule="auto"/>
        <w:jc w:val="both"/>
        <w:textAlignment w:val="baseline"/>
        <w:rPr>
          <w:rFonts w:ascii="Arial" w:hAnsi="Arial" w:cs="Arial"/>
          <w:b/>
          <w:color w:val="444444"/>
        </w:rPr>
      </w:pPr>
      <w:r w:rsidRPr="00F642C9">
        <w:rPr>
          <w:rFonts w:ascii="Arial" w:hAnsi="Arial" w:cs="Arial"/>
          <w:color w:val="444444"/>
        </w:rPr>
        <w:tab/>
      </w:r>
      <w:r w:rsidRPr="00F642C9">
        <w:rPr>
          <w:rFonts w:ascii="Arial" w:hAnsi="Arial" w:cs="Arial"/>
          <w:color w:val="444444"/>
        </w:rPr>
        <w:tab/>
      </w:r>
      <w:r w:rsidRPr="00F642C9">
        <w:rPr>
          <w:rFonts w:ascii="Arial" w:hAnsi="Arial" w:cs="Arial"/>
          <w:b/>
          <w:color w:val="444444"/>
        </w:rPr>
        <w:t>Yapılan bu değişiklik ve düzenleme ile yukarıda verdiğimiz ilk tablodaki sigorta p</w:t>
      </w:r>
      <w:r w:rsidR="00C0748B" w:rsidRPr="00F642C9">
        <w:rPr>
          <w:rFonts w:ascii="Arial" w:hAnsi="Arial" w:cs="Arial"/>
          <w:b/>
          <w:color w:val="444444"/>
        </w:rPr>
        <w:t xml:space="preserve">rimi işveren desteğinin sabit yatırım tutarına oranı, bölgelere göre  ikinci tablodaki oranların yarısı </w:t>
      </w:r>
      <w:r w:rsidRPr="00F642C9">
        <w:rPr>
          <w:rFonts w:ascii="Arial" w:hAnsi="Arial" w:cs="Arial"/>
          <w:b/>
          <w:color w:val="444444"/>
        </w:rPr>
        <w:t xml:space="preserve"> </w:t>
      </w:r>
      <w:r w:rsidR="00C0748B" w:rsidRPr="00F642C9">
        <w:rPr>
          <w:rFonts w:ascii="Arial" w:hAnsi="Arial" w:cs="Arial"/>
          <w:b/>
          <w:color w:val="444444"/>
        </w:rPr>
        <w:t xml:space="preserve">kadar artarak uygulanacaktır. Yani kısacası devlet, yatırım yapılabilmesi için sigorta primi destek oranlarını da artırmaktadır. Aynı artırım stratejik yatırımlar için de geçerlidir. </w:t>
      </w: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5- </w:t>
      </w:r>
      <w:r w:rsidRPr="00F642C9">
        <w:rPr>
          <w:rFonts w:ascii="Arial" w:hAnsi="Arial" w:cs="Arial"/>
          <w:color w:val="444444"/>
        </w:rPr>
        <w:t>Aynı Kararın 17 nci maddesinin birinci fıkrasının (b), (d) ve (u) bentleri yürürlükten kaldırılmış, (a), (c), (i) ve (ü) bentleri aşağıdaki şekilde değiştirilmiş, (ğ) bendinde yer alan “asgari 20 milyon TL tutarındaki” ibaresi yürürlükten kaldırılmış ve söz konusu fıkraya aşağıdaki (z) bendi bendi eklenmiştir.</w:t>
      </w:r>
    </w:p>
    <w:p w:rsidR="0032361C" w:rsidRPr="00F642C9" w:rsidRDefault="0032361C" w:rsidP="00F64CF1">
      <w:pPr>
        <w:shd w:val="clear" w:color="auto" w:fill="F4F4F2"/>
        <w:spacing w:after="0" w:line="240" w:lineRule="auto"/>
        <w:jc w:val="both"/>
        <w:textAlignment w:val="baseline"/>
        <w:rPr>
          <w:rFonts w:ascii="Arial" w:hAnsi="Arial" w:cs="Arial"/>
          <w:color w:val="444444"/>
        </w:rPr>
      </w:pPr>
    </w:p>
    <w:p w:rsidR="0032361C" w:rsidRPr="00F642C9" w:rsidRDefault="0032361C"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color w:val="444444"/>
        </w:rPr>
        <w:tab/>
      </w:r>
      <w:r w:rsidRPr="00F642C9">
        <w:rPr>
          <w:rFonts w:ascii="Arial" w:hAnsi="Arial" w:cs="Arial"/>
          <w:i/>
          <w:color w:val="444444"/>
          <w:u w:val="single"/>
        </w:rPr>
        <w:t xml:space="preserve">Daha önce öncelikli yatırım konuları arasında yer alan özel sektör demiryolu yatırımları, asgari 50.000 m2. Fuar yatırımları ile 5.000-10.000 baş süt ve et hayvancılık yatırımları öncelikli yatırım konularından çıkarılmıştır. Eğitim yatırımlarındaki 20 milyon liralık sınır kaldırılarak ğ fıkrasındaki tüm eğitim yatırımları öncelikli yatırım konuları içine alınmıştır. </w:t>
      </w:r>
    </w:p>
    <w:p w:rsidR="0032361C" w:rsidRPr="00F642C9" w:rsidRDefault="0032361C"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ab/>
        <w:t xml:space="preserve">Ayrıca aşağıdaki değiştirilen maddelerle öncelikli yatırım konularında yeni düzenlemeler yapılmıştır. </w:t>
      </w:r>
    </w:p>
    <w:p w:rsidR="0032361C" w:rsidRPr="00F642C9" w:rsidRDefault="0032361C"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“a) Demiryolu, denizyolu veya havayolu ile yük ve/veya yolcu taşımacılığına yönelik yatırımlar.”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“c) Ekonomik İşbirliği ve Kalkınma Teşkilatı (OECD) teknoloji yoğunluk tanımına göre orta yüksek ve yüksek teknolojili sanayi sınıfında yer alan ürünlere yönelik test merkezi yatırımları.”</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“j) EK-4’te yer alan “Teşvik Edilmeyecek Yatırımlar” hariç olmak üzere, Enerji ve Tabii Kaynaklar Bakanlığının vereceği proje onayına istinaden, yıllık asgari 500 ton eşdeğer petrol (TEP) enerji tüketimi olan mevcut imalat sanayi tesislerinde gerçekleştirilecek, mevcut durumuna göre en az yüzde onbeş oranında enerji tasarrufu sağlayan enerji verimliliğine yönelik yatırımlar.”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“ü) Çevre İzin ve Lisans Yönetmeliği kapsamında Çevre Lisansına tabi yatırımlar.”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“z) Asgari yatırım tutarı şartı aranmaksızın ihtisas serbest bölgelerinde gerçekleştirilecek yazılım ve bilişim ürünleri üretimi yatırımlan.”</w:t>
      </w:r>
    </w:p>
    <w:p w:rsidR="007D18C5" w:rsidRPr="00F642C9" w:rsidRDefault="007D18C5" w:rsidP="00F64CF1">
      <w:pPr>
        <w:shd w:val="clear" w:color="auto" w:fill="F4F4F2"/>
        <w:spacing w:after="225" w:line="240" w:lineRule="auto"/>
        <w:jc w:val="both"/>
        <w:textAlignment w:val="baseline"/>
        <w:rPr>
          <w:rFonts w:ascii="Arial" w:hAnsi="Arial" w:cs="Arial"/>
          <w:i/>
          <w:color w:val="444444"/>
          <w:u w:val="single"/>
        </w:rPr>
      </w:pPr>
    </w:p>
    <w:p w:rsidR="007D18C5" w:rsidRPr="00F642C9" w:rsidRDefault="007D18C5" w:rsidP="00F64CF1">
      <w:pPr>
        <w:shd w:val="clear" w:color="auto" w:fill="F4F4F2"/>
        <w:spacing w:after="225" w:line="240" w:lineRule="auto"/>
        <w:jc w:val="both"/>
        <w:textAlignment w:val="baseline"/>
        <w:rPr>
          <w:rFonts w:ascii="Arial" w:hAnsi="Arial" w:cs="Arial"/>
          <w:i/>
          <w:color w:val="444444"/>
          <w:u w:val="single"/>
        </w:rPr>
      </w:pPr>
      <w:r w:rsidRPr="00F642C9">
        <w:rPr>
          <w:rFonts w:ascii="Arial" w:hAnsi="Arial" w:cs="Arial"/>
          <w:i/>
          <w:color w:val="444444"/>
          <w:u w:val="single"/>
        </w:rPr>
        <w:tab/>
        <w:t xml:space="preserve">Bu kararla yapılan bir önemli değişiklik de alt bölge desteğinden yararlanacak yatırımların yeniden düzenlenmesidir. Bu düzenleme 01.Ocak.2021 tarihinden itibaren yürürlüğe girecektir. Yapılan düzenleme aşağıdaki şekildedir. </w:t>
      </w: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6- </w:t>
      </w:r>
      <w:r w:rsidRPr="00F642C9">
        <w:rPr>
          <w:rFonts w:ascii="Arial" w:hAnsi="Arial" w:cs="Arial"/>
          <w:color w:val="444444"/>
        </w:rPr>
        <w:t>Aynı Kararın 18 inci maddesinin birinci fıkrasının (a) bendinin sonuna aşağıdaki cümle eklenmiş, üçüncü fıkrasında yer alan “Bu fıkra kapsamında” ibaresi ”Bu kapsamda” olarak değiştirilerek aynı fıkranın sonuna aşağıdaki cümle eklenmiş, dördüncü fıkrası yürürlükten kaldırılmış ve mezkur maddeye aşağıdaki fıkra eklenmiştir.</w:t>
      </w:r>
    </w:p>
    <w:p w:rsidR="001252EA" w:rsidRPr="00F642C9" w:rsidRDefault="001252EA" w:rsidP="00F64CF1">
      <w:pPr>
        <w:shd w:val="clear" w:color="auto" w:fill="F4F4F2"/>
        <w:spacing w:after="0" w:line="240" w:lineRule="auto"/>
        <w:jc w:val="both"/>
        <w:textAlignment w:val="baseline"/>
        <w:rPr>
          <w:rFonts w:ascii="Arial" w:hAnsi="Arial" w:cs="Arial"/>
          <w:i/>
          <w:color w:val="444444"/>
          <w:u w:val="single"/>
        </w:rPr>
      </w:pPr>
    </w:p>
    <w:p w:rsidR="001252EA" w:rsidRPr="00F642C9" w:rsidRDefault="001252EA"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18 inci madde a bendinin sonuna eklenen cümle :</w:t>
      </w:r>
    </w:p>
    <w:p w:rsidR="007D18C5" w:rsidRPr="00F642C9" w:rsidRDefault="007D18C5"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0" w:line="240" w:lineRule="auto"/>
        <w:jc w:val="both"/>
        <w:textAlignment w:val="baseline"/>
        <w:rPr>
          <w:rFonts w:ascii="Arial" w:hAnsi="Arial" w:cs="Arial"/>
          <w:bdr w:val="none" w:sz="0" w:space="0" w:color="auto" w:frame="1"/>
        </w:rPr>
      </w:pPr>
      <w:r w:rsidRPr="00F642C9">
        <w:rPr>
          <w:rFonts w:ascii="Arial" w:hAnsi="Arial" w:cs="Arial"/>
          <w:bdr w:val="none" w:sz="0" w:space="0" w:color="auto" w:frame="1"/>
        </w:rPr>
        <w:t>“Bu kapsamda desteklenen yatırımlar için beşinci fıkra hükümleri uygulanmaz.”</w:t>
      </w:r>
    </w:p>
    <w:p w:rsidR="001252EA" w:rsidRPr="00F642C9" w:rsidRDefault="001252EA" w:rsidP="00F64CF1">
      <w:pPr>
        <w:shd w:val="clear" w:color="auto" w:fill="F4F4F2"/>
        <w:spacing w:after="0" w:line="240" w:lineRule="auto"/>
        <w:jc w:val="both"/>
        <w:textAlignment w:val="baseline"/>
        <w:rPr>
          <w:rFonts w:ascii="Arial" w:hAnsi="Arial" w:cs="Arial"/>
          <w:bdr w:val="none" w:sz="0" w:space="0" w:color="auto" w:frame="1"/>
        </w:rPr>
      </w:pPr>
    </w:p>
    <w:p w:rsidR="001252EA" w:rsidRPr="00F642C9" w:rsidRDefault="001252EA" w:rsidP="00F64CF1">
      <w:pPr>
        <w:shd w:val="clear" w:color="auto" w:fill="F4F4F2"/>
        <w:spacing w:after="0" w:line="240" w:lineRule="auto"/>
        <w:jc w:val="both"/>
        <w:textAlignment w:val="baseline"/>
        <w:rPr>
          <w:rFonts w:ascii="Arial" w:hAnsi="Arial" w:cs="Arial"/>
          <w:i/>
          <w:u w:val="single"/>
          <w:bdr w:val="none" w:sz="0" w:space="0" w:color="auto" w:frame="1"/>
        </w:rPr>
      </w:pPr>
      <w:r w:rsidRPr="00F642C9">
        <w:rPr>
          <w:rFonts w:ascii="Arial" w:hAnsi="Arial" w:cs="Arial"/>
          <w:i/>
          <w:u w:val="single"/>
          <w:bdr w:val="none" w:sz="0" w:space="0" w:color="auto" w:frame="1"/>
        </w:rPr>
        <w:t>18 inci madde üçüncü fıkranın sonuna eklenen cümle</w:t>
      </w:r>
    </w:p>
    <w:p w:rsidR="007D18C5" w:rsidRPr="00F642C9" w:rsidRDefault="007D18C5" w:rsidP="00F64CF1">
      <w:pPr>
        <w:shd w:val="clear" w:color="auto" w:fill="F4F4F2"/>
        <w:spacing w:after="0" w:line="240" w:lineRule="auto"/>
        <w:jc w:val="both"/>
        <w:textAlignment w:val="baseline"/>
        <w:rPr>
          <w:rFonts w:ascii="Arial" w:hAnsi="Arial" w:cs="Arial"/>
        </w:rPr>
      </w:pPr>
    </w:p>
    <w:p w:rsidR="00CF6CB9" w:rsidRPr="00F642C9" w:rsidRDefault="00CF6CB9" w:rsidP="00F64CF1">
      <w:pPr>
        <w:shd w:val="clear" w:color="auto" w:fill="F4F4F2"/>
        <w:spacing w:after="0" w:line="240" w:lineRule="auto"/>
        <w:jc w:val="both"/>
        <w:textAlignment w:val="baseline"/>
        <w:rPr>
          <w:rFonts w:ascii="Arial" w:hAnsi="Arial" w:cs="Arial"/>
          <w:bdr w:val="none" w:sz="0" w:space="0" w:color="auto" w:frame="1"/>
        </w:rPr>
      </w:pPr>
      <w:r w:rsidRPr="00F642C9">
        <w:rPr>
          <w:rFonts w:ascii="Arial" w:hAnsi="Arial" w:cs="Arial"/>
          <w:bdr w:val="none" w:sz="0" w:space="0" w:color="auto" w:frame="1"/>
        </w:rPr>
        <w:t>“Ancak, İstanbul İlinde organize sanayi bölgeleri veya endüstri bölgelerinde, komple yeni yatırımlar hariç olmak üzere, bu fıkrada belirtilen konularda gerçekleştirilecek asgari 5 milyon TL tutarındaki yatırımlara 1 inci bölgedeki bölgesel destekler uygulanır.”</w:t>
      </w:r>
    </w:p>
    <w:p w:rsidR="001252EA" w:rsidRPr="00F642C9" w:rsidRDefault="001252EA" w:rsidP="00F64CF1">
      <w:pPr>
        <w:shd w:val="clear" w:color="auto" w:fill="F4F4F2"/>
        <w:spacing w:after="0" w:line="240" w:lineRule="auto"/>
        <w:jc w:val="both"/>
        <w:textAlignment w:val="baseline"/>
        <w:rPr>
          <w:rFonts w:ascii="Arial" w:hAnsi="Arial" w:cs="Arial"/>
        </w:rPr>
      </w:pPr>
    </w:p>
    <w:p w:rsidR="001252EA" w:rsidRPr="00F642C9" w:rsidRDefault="001252EA" w:rsidP="00F64CF1">
      <w:pPr>
        <w:shd w:val="clear" w:color="auto" w:fill="F4F4F2"/>
        <w:spacing w:after="0" w:line="240" w:lineRule="auto"/>
        <w:jc w:val="both"/>
        <w:textAlignment w:val="baseline"/>
        <w:rPr>
          <w:rFonts w:ascii="Arial" w:hAnsi="Arial" w:cs="Arial"/>
          <w:i/>
          <w:u w:val="single"/>
        </w:rPr>
      </w:pPr>
      <w:r w:rsidRPr="00F642C9">
        <w:rPr>
          <w:rFonts w:ascii="Arial" w:hAnsi="Arial" w:cs="Arial"/>
        </w:rPr>
        <w:tab/>
      </w:r>
      <w:r w:rsidRPr="00F642C9">
        <w:rPr>
          <w:rFonts w:ascii="Arial" w:hAnsi="Arial" w:cs="Arial"/>
          <w:i/>
          <w:u w:val="single"/>
        </w:rPr>
        <w:t xml:space="preserve">18 inci maddenin cazibe merkezleri kapsamında diye başlayan 4 üncü </w:t>
      </w:r>
      <w:r w:rsidR="00895BF2" w:rsidRPr="00F642C9">
        <w:rPr>
          <w:rFonts w:ascii="Arial" w:hAnsi="Arial" w:cs="Arial"/>
          <w:i/>
          <w:u w:val="single"/>
        </w:rPr>
        <w:t>fıkrası</w:t>
      </w:r>
      <w:r w:rsidRPr="00F642C9">
        <w:rPr>
          <w:rFonts w:ascii="Arial" w:hAnsi="Arial" w:cs="Arial"/>
          <w:i/>
          <w:u w:val="single"/>
        </w:rPr>
        <w:t xml:space="preserve"> yürürlükten kaldırılmıştır. </w:t>
      </w:r>
    </w:p>
    <w:p w:rsidR="001252EA" w:rsidRPr="00F642C9" w:rsidRDefault="001252EA" w:rsidP="00F64CF1">
      <w:pPr>
        <w:shd w:val="clear" w:color="auto" w:fill="F4F4F2"/>
        <w:spacing w:after="0" w:line="240" w:lineRule="auto"/>
        <w:jc w:val="both"/>
        <w:textAlignment w:val="baseline"/>
        <w:rPr>
          <w:rFonts w:ascii="Arial" w:hAnsi="Arial" w:cs="Arial"/>
        </w:rPr>
      </w:pPr>
    </w:p>
    <w:p w:rsidR="00895BF2" w:rsidRPr="00F642C9" w:rsidRDefault="00895BF2" w:rsidP="00F64CF1">
      <w:pPr>
        <w:shd w:val="clear" w:color="auto" w:fill="F4F4F2"/>
        <w:spacing w:after="0" w:line="240" w:lineRule="auto"/>
        <w:jc w:val="both"/>
        <w:textAlignment w:val="baseline"/>
        <w:rPr>
          <w:rFonts w:ascii="Arial" w:hAnsi="Arial" w:cs="Arial"/>
        </w:rPr>
      </w:pPr>
    </w:p>
    <w:p w:rsidR="001252EA" w:rsidRPr="00F642C9" w:rsidRDefault="00895BF2" w:rsidP="00F64CF1">
      <w:pPr>
        <w:shd w:val="clear" w:color="auto" w:fill="F4F4F2"/>
        <w:spacing w:after="0" w:line="240" w:lineRule="auto"/>
        <w:jc w:val="both"/>
        <w:textAlignment w:val="baseline"/>
        <w:rPr>
          <w:rFonts w:ascii="Arial" w:hAnsi="Arial" w:cs="Arial"/>
          <w:i/>
          <w:u w:val="single"/>
        </w:rPr>
      </w:pPr>
      <w:r w:rsidRPr="00F642C9">
        <w:rPr>
          <w:rFonts w:ascii="Arial" w:hAnsi="Arial" w:cs="Arial"/>
          <w:i/>
          <w:u w:val="single"/>
        </w:rPr>
        <w:t xml:space="preserve"> 18 inci maddeye 5 inci fıkra olarak aşağıdaki ekleme yapılmıştır.</w:t>
      </w:r>
    </w:p>
    <w:p w:rsidR="00895BF2" w:rsidRPr="00F642C9" w:rsidRDefault="00895BF2" w:rsidP="00F64CF1">
      <w:pPr>
        <w:shd w:val="clear" w:color="auto" w:fill="F4F4F2"/>
        <w:spacing w:after="0" w:line="240" w:lineRule="auto"/>
        <w:jc w:val="both"/>
        <w:textAlignment w:val="baseline"/>
        <w:rPr>
          <w:rFonts w:ascii="Arial" w:hAnsi="Arial" w:cs="Arial"/>
          <w:i/>
          <w:u w:val="single"/>
        </w:rPr>
      </w:pPr>
    </w:p>
    <w:p w:rsidR="00895BF2" w:rsidRPr="00F642C9" w:rsidRDefault="00895BF2" w:rsidP="00F64CF1">
      <w:pPr>
        <w:shd w:val="clear" w:color="auto" w:fill="F4F4F2"/>
        <w:spacing w:after="0" w:line="240" w:lineRule="auto"/>
        <w:jc w:val="both"/>
        <w:textAlignment w:val="baseline"/>
        <w:rPr>
          <w:rFonts w:ascii="Arial" w:hAnsi="Arial" w:cs="Arial"/>
          <w:i/>
          <w:u w:val="single"/>
        </w:rPr>
      </w:pPr>
    </w:p>
    <w:p w:rsidR="00CF6CB9" w:rsidRPr="00F642C9" w:rsidRDefault="00CF6CB9" w:rsidP="00F64CF1">
      <w:pPr>
        <w:shd w:val="clear" w:color="auto" w:fill="F4F4F2"/>
        <w:spacing w:after="0" w:line="240" w:lineRule="auto"/>
        <w:jc w:val="both"/>
        <w:textAlignment w:val="baseline"/>
        <w:rPr>
          <w:rFonts w:ascii="Arial" w:hAnsi="Arial" w:cs="Arial"/>
          <w:bdr w:val="none" w:sz="0" w:space="0" w:color="auto" w:frame="1"/>
        </w:rPr>
      </w:pPr>
      <w:r w:rsidRPr="00F642C9">
        <w:rPr>
          <w:rFonts w:ascii="Arial" w:hAnsi="Arial" w:cs="Arial"/>
          <w:bdr w:val="none" w:sz="0" w:space="0" w:color="auto" w:frame="1"/>
        </w:rPr>
        <w:t>“(5) Bölgesel teşvik uygulamaları kapsamında, EK-7’de yer alan 1 inci, 2 nci, 3 üncü ve 4 üncü bölge illerinin ilçelerinde gerçekleştirilecek yatırımlar ilçenin bulunduğu ilin bir alt bölgesine sağlanan bölgesel desteklerden; söz konusu ilçelerin organize sanayi bölgelerinde veya endüstri bölgelerinde gerçekleştirilecek yatırımlar ise bulunduğu ilin iki alt bölgesine sağlanan bölgesel desteklerden yararlanır. Ek-7’de yer alan 5 inci bölge illerinin ilçelerinde gerçekleştirilecek yatırımlara 6 ncı bölgeye sağlanan bölgesel destekler, söz konusu ilçelerin organize sanayi bölgelerinde veya endüstri bölgelerinde gerçekleştirilecek yatırımlara ise ikinci fıkra hükümleri de uygulanmak üzere 6 ncı bölge destekleri uygulanır. Bu fıkra hükümleri çerçevesinde gerçekleştirilecek yatırımlar sigorta primi desteği ve gelir vergisi stopajı desteğinden yararlanamazlar.”</w:t>
      </w:r>
    </w:p>
    <w:p w:rsidR="007D18C5" w:rsidRPr="00F642C9" w:rsidRDefault="007D18C5" w:rsidP="00F64CF1">
      <w:pPr>
        <w:shd w:val="clear" w:color="auto" w:fill="F4F4F2"/>
        <w:spacing w:after="0" w:line="240" w:lineRule="auto"/>
        <w:jc w:val="both"/>
        <w:textAlignment w:val="baseline"/>
        <w:rPr>
          <w:rFonts w:ascii="Arial" w:hAnsi="Arial" w:cs="Arial"/>
          <w:color w:val="3366FF"/>
          <w:bdr w:val="none" w:sz="0" w:space="0" w:color="auto" w:frame="1"/>
        </w:rPr>
      </w:pPr>
    </w:p>
    <w:p w:rsidR="007D18C5" w:rsidRPr="00F642C9" w:rsidRDefault="007D18C5"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color w:val="3366FF"/>
          <w:bdr w:val="none" w:sz="0" w:space="0" w:color="auto" w:frame="1"/>
        </w:rPr>
        <w:tab/>
      </w:r>
    </w:p>
    <w:p w:rsidR="00895BF2"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7- </w:t>
      </w:r>
      <w:r w:rsidRPr="00F642C9">
        <w:rPr>
          <w:rFonts w:ascii="Arial" w:hAnsi="Arial" w:cs="Arial"/>
          <w:color w:val="444444"/>
        </w:rPr>
        <w:t>Aynı Kararın 24 üncü maddesinin beşinci ve yedinci fıkraları aşağıdaki şekilde değiştirilmiştir.</w:t>
      </w:r>
      <w:r w:rsidR="00895BF2" w:rsidRPr="00F642C9">
        <w:rPr>
          <w:rFonts w:ascii="Arial" w:hAnsi="Arial" w:cs="Arial"/>
          <w:color w:val="444444"/>
        </w:rPr>
        <w:t xml:space="preserve"> </w:t>
      </w:r>
    </w:p>
    <w:p w:rsidR="00895BF2" w:rsidRPr="00F642C9" w:rsidRDefault="00895BF2" w:rsidP="00F64CF1">
      <w:pPr>
        <w:shd w:val="clear" w:color="auto" w:fill="F4F4F2"/>
        <w:spacing w:after="0" w:line="240" w:lineRule="auto"/>
        <w:jc w:val="both"/>
        <w:textAlignment w:val="baseline"/>
        <w:rPr>
          <w:rFonts w:ascii="Arial" w:hAnsi="Arial" w:cs="Arial"/>
          <w:color w:val="444444"/>
        </w:rPr>
      </w:pPr>
    </w:p>
    <w:p w:rsidR="00CF6CB9" w:rsidRPr="00F642C9" w:rsidRDefault="00895BF2" w:rsidP="00F64CF1">
      <w:pPr>
        <w:shd w:val="clear" w:color="auto" w:fill="F4F4F2"/>
        <w:spacing w:after="0" w:line="240" w:lineRule="auto"/>
        <w:jc w:val="both"/>
        <w:textAlignment w:val="baseline"/>
        <w:rPr>
          <w:rFonts w:ascii="Arial" w:hAnsi="Arial" w:cs="Arial"/>
          <w:i/>
          <w:color w:val="444444"/>
        </w:rPr>
      </w:pPr>
      <w:r w:rsidRPr="00F642C9">
        <w:rPr>
          <w:rFonts w:ascii="Arial" w:hAnsi="Arial" w:cs="Arial"/>
          <w:i/>
          <w:color w:val="444444"/>
        </w:rPr>
        <w:t>Bu madde yatırım süresi ve tamamlama vizesi konularını düzenleyen maddedir.</w:t>
      </w:r>
    </w:p>
    <w:p w:rsidR="00895BF2" w:rsidRPr="00F642C9" w:rsidRDefault="00895BF2" w:rsidP="00F64CF1">
      <w:pPr>
        <w:shd w:val="clear" w:color="auto" w:fill="F4F4F2"/>
        <w:spacing w:after="0" w:line="240" w:lineRule="auto"/>
        <w:jc w:val="both"/>
        <w:textAlignment w:val="baseline"/>
        <w:rPr>
          <w:rFonts w:ascii="Arial" w:hAnsi="Arial" w:cs="Arial"/>
          <w:i/>
          <w:color w:val="444444"/>
        </w:rPr>
      </w:pP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“(5) Bakanlıkça, yatırımların tamamlama vizesi işlemleri için Kalkınma Ajansları, ticaret ve sanayi odaları, Bakanlık İl Müdürlükleri, sanayi odaları veya yatırımın bulunduğu il valiliği görevlendirilebilir.”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“(7) Kamu kurum ve kuruluşları adına genel teşvik uygulamaları kapsamında düzenlenen teşvik belgeleri için asgari sabit yatırım tutarı şartı ve yatırım tamamlama vizesi şartı aranmaz.”</w:t>
      </w:r>
    </w:p>
    <w:p w:rsidR="00895BF2"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8- </w:t>
      </w:r>
      <w:r w:rsidRPr="00F642C9">
        <w:rPr>
          <w:rFonts w:ascii="Arial" w:hAnsi="Arial" w:cs="Arial"/>
          <w:color w:val="444444"/>
        </w:rPr>
        <w:t>Aynı Kararın 29 uncu maddesinin birinci tikrası aşağıdaki şekilde değiştirilmiştir.</w:t>
      </w:r>
    </w:p>
    <w:p w:rsidR="00895BF2" w:rsidRPr="00F642C9" w:rsidRDefault="00895BF2" w:rsidP="00F64CF1">
      <w:pPr>
        <w:shd w:val="clear" w:color="auto" w:fill="F4F4F2"/>
        <w:spacing w:after="0" w:line="240" w:lineRule="auto"/>
        <w:jc w:val="both"/>
        <w:textAlignment w:val="baseline"/>
        <w:rPr>
          <w:rFonts w:ascii="Arial" w:hAnsi="Arial" w:cs="Arial"/>
          <w:color w:val="444444"/>
        </w:rPr>
      </w:pPr>
    </w:p>
    <w:p w:rsidR="00CF6CB9" w:rsidRPr="00F642C9" w:rsidRDefault="00895BF2"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color w:val="444444"/>
        </w:rPr>
        <w:lastRenderedPageBreak/>
        <w:t xml:space="preserve"> </w:t>
      </w:r>
      <w:r w:rsidRPr="00F642C9">
        <w:rPr>
          <w:rFonts w:ascii="Arial" w:hAnsi="Arial" w:cs="Arial"/>
          <w:i/>
          <w:color w:val="444444"/>
          <w:u w:val="single"/>
        </w:rPr>
        <w:t xml:space="preserve">Bu madde diğer desteklerden yararlanma konusunu düzenlemektedir. Yatırımcıların en fazla dikkat etmesi gereken bir düzenleme olup yatırımcıların birden fazla kamu kurum ve kuruluşlarının desteklerinden yararlanamayacağı bir daha vurgulanmıştır. </w:t>
      </w:r>
      <w:r w:rsidR="00DC7AD1" w:rsidRPr="00F642C9">
        <w:rPr>
          <w:rFonts w:ascii="Arial" w:hAnsi="Arial" w:cs="Arial"/>
          <w:i/>
          <w:color w:val="444444"/>
          <w:u w:val="single"/>
        </w:rPr>
        <w:t xml:space="preserve"> Yine yapılan düzenleme ile belli şartlarda destek unsurlarından yararlanmış ve tamamlama vizesi yapılmamış teşvik belgelerine de bir imkan (olanak) tanınmıştır. </w:t>
      </w:r>
    </w:p>
    <w:p w:rsidR="00895BF2" w:rsidRPr="00F642C9" w:rsidRDefault="00895BF2" w:rsidP="00F64CF1">
      <w:pPr>
        <w:shd w:val="clear" w:color="auto" w:fill="F4F4F2"/>
        <w:spacing w:after="0" w:line="240" w:lineRule="auto"/>
        <w:jc w:val="both"/>
        <w:textAlignment w:val="baseline"/>
        <w:rPr>
          <w:rFonts w:ascii="Arial" w:hAnsi="Arial" w:cs="Arial"/>
          <w:bCs/>
          <w:color w:val="000000"/>
          <w:bdr w:val="none" w:sz="0" w:space="0" w:color="auto" w:frame="1"/>
        </w:rPr>
      </w:pP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“(l) </w:t>
      </w:r>
      <w:r w:rsidRPr="00F642C9">
        <w:rPr>
          <w:rFonts w:ascii="Arial" w:hAnsi="Arial" w:cs="Arial"/>
          <w:color w:val="444444"/>
        </w:rPr>
        <w:t>Bu Karar kapsamındaki destek unsurlarından yararlanan yatırım harcamaları, diğer kamu kurum ve kuruluşlarının desteklerinden yararlanamaz. Diğer kamu kurum ve kuruluşlarının desteklerinden yararlanan veya yararlanacak olan yatırım harcamaları için, bu Karar kapsamındaki desteklerden yararlanmak üzere Bakanlığa müracaat edilemez. Bu madde hükmüne aykırı davranılması halinde, bu Karar kapsamında yararlanılan destekler ilgili mevzuat çerçevesinde geri alınır. Ancak, diğer kamu kurum ve kuruluşlarının sadece sübvansiyonlu kredi desteğinden yararlanan yatırımlar, sübvansiyonlu krediye faiz veya kar payı desteği sağlanmaması kaydıyla bu Karar kapsamındaki destek unsurlarından yararlandırılabilir. Bu imkan daha önceki kararlara istinaden düzenlenen teşvik belgeleri de dahil olmak üzere tamamlama vizesi yapılmamış teşvik belgelerine de uygulanır.”</w:t>
      </w:r>
    </w:p>
    <w:p w:rsidR="00DC7AD1" w:rsidRPr="00F642C9" w:rsidRDefault="00DC7AD1"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9-</w:t>
      </w:r>
      <w:r w:rsidRPr="00F642C9">
        <w:rPr>
          <w:rFonts w:ascii="Arial" w:hAnsi="Arial" w:cs="Arial"/>
          <w:color w:val="444444"/>
        </w:rPr>
        <w:t> Aynı Kararın geçici 8 inci maddesinin birinci fı</w:t>
      </w:r>
      <w:r w:rsidR="00DC7AD1" w:rsidRPr="00F642C9">
        <w:rPr>
          <w:rFonts w:ascii="Arial" w:hAnsi="Arial" w:cs="Arial"/>
          <w:color w:val="444444"/>
        </w:rPr>
        <w:t>kra</w:t>
      </w:r>
      <w:r w:rsidRPr="00F642C9">
        <w:rPr>
          <w:rFonts w:ascii="Arial" w:hAnsi="Arial" w:cs="Arial"/>
          <w:color w:val="444444"/>
        </w:rPr>
        <w:t>sında yer alan”, 1/1/2017 ile 3l/12/2019 tarihleri arasında gerçekleştirilecek yatırım harcamaları için” ibaresi yürürlükten kaldırılmış ve söz konusu fıkranın (a) bendinin başına “1/1/2017 ile 31/12/2021 tarihleri arasında gerçekleştirilecek” ibaresi, (b) bendinin başına “1/1/2017 ile 31/12/2022 tarihleri arasında gerçekleştirilecek yatırım harcamaları için” ibaresi eklenmiştir.</w:t>
      </w:r>
    </w:p>
    <w:p w:rsidR="00DC7AD1" w:rsidRPr="00F642C9" w:rsidRDefault="00DC7AD1" w:rsidP="00F64CF1">
      <w:pPr>
        <w:shd w:val="clear" w:color="auto" w:fill="F4F4F2"/>
        <w:spacing w:after="0" w:line="240" w:lineRule="auto"/>
        <w:jc w:val="both"/>
        <w:textAlignment w:val="baseline"/>
        <w:rPr>
          <w:rFonts w:ascii="Arial" w:hAnsi="Arial" w:cs="Arial"/>
          <w:i/>
          <w:color w:val="444444"/>
          <w:u w:val="single"/>
        </w:rPr>
      </w:pPr>
    </w:p>
    <w:p w:rsidR="00DC7AD1" w:rsidRPr="00F642C9" w:rsidRDefault="00DC7AD1"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ab/>
        <w:t xml:space="preserve">Bu madde 1/1/2020 tarihinden itibaren uygulanmak üzere yayımı tarihinde geçerli bir maddedir. </w:t>
      </w:r>
      <w:r w:rsidR="002762E8" w:rsidRPr="00F642C9">
        <w:rPr>
          <w:rFonts w:ascii="Arial" w:hAnsi="Arial" w:cs="Arial"/>
          <w:i/>
          <w:color w:val="444444"/>
          <w:u w:val="single"/>
        </w:rPr>
        <w:t xml:space="preserve"> Birinci fıkradaki süre cümlesi kaldırılmış ve a ve b bentlerine eklenmiştir. </w:t>
      </w:r>
      <w:r w:rsidR="00415864" w:rsidRPr="00F642C9">
        <w:rPr>
          <w:rFonts w:ascii="Arial" w:hAnsi="Arial" w:cs="Arial"/>
          <w:i/>
          <w:color w:val="444444"/>
          <w:u w:val="single"/>
        </w:rPr>
        <w:t xml:space="preserve"> Böylece 2021 ve 2022 yıllarına ait yeni bir düzenleme yapılmaksızın geçici 8 inci maddedeki teşvik tedbirleri uygulanabilecek hale gelmiştir. </w:t>
      </w:r>
    </w:p>
    <w:p w:rsidR="00DC7AD1" w:rsidRPr="00F642C9" w:rsidRDefault="00DC7AD1"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ab/>
        <w:t xml:space="preserve">Geçici 8 inci maddedeki </w:t>
      </w:r>
      <w:r w:rsidR="002762E8" w:rsidRPr="00F642C9">
        <w:rPr>
          <w:rFonts w:ascii="Arial" w:hAnsi="Arial" w:cs="Arial"/>
          <w:i/>
          <w:color w:val="444444"/>
          <w:u w:val="single"/>
        </w:rPr>
        <w:t>gerçekleştirilecek imalat sanayiine yönelik (US97 Kodu 15-37) yatırım harcamalarının</w:t>
      </w:r>
    </w:p>
    <w:p w:rsidR="00415864" w:rsidRPr="00F642C9" w:rsidRDefault="00415864"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ab/>
        <w:t xml:space="preserve">a)1/1/2017 ile 31/12/2021 tarihleri arasında gerçekleştirilecek yatırım harcamaları için bina inşaat harcamalarında KDV iadesi </w:t>
      </w:r>
    </w:p>
    <w:p w:rsidR="00415864" w:rsidRPr="00F642C9" w:rsidRDefault="00415864"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ab/>
        <w:t>b)1/1/2017 ile 31/12/2022 tarihleri arasında gerçekleştirilecek Bölgesel ve stratejik teşvik uygulamaları kapsamında vergi indirimi desteğinde uygulanacak yatırıma katkı oranları her bir bölgede geçerli olan yatırıma katkı oranına 15 puan ilave edilmek suretiyle, kurumlar vergisi veya gelir vergisi indirimi tüm bölgelerde yüzde yüz oranında ve yatırıma katkı tutarının yatırım döneminde yatırımcının diğer faaliyetlerinden elde ettiği kazançlarına uygulanacak oranı yüzde yüz olmak üzere, teşvik belgesi üzerinde herhangi bir işlem yapılmaksızın uygulanır.</w:t>
      </w:r>
    </w:p>
    <w:p w:rsidR="00415864" w:rsidRPr="00F642C9" w:rsidRDefault="00415864"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color w:val="444444"/>
        </w:rPr>
        <w:tab/>
      </w:r>
    </w:p>
    <w:p w:rsidR="00DC7AD1" w:rsidRPr="00F642C9" w:rsidRDefault="00DC7AD1"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color w:val="444444"/>
        </w:rPr>
        <w:tab/>
      </w:r>
    </w:p>
    <w:p w:rsidR="00DC7AD1" w:rsidRPr="00F642C9" w:rsidRDefault="00DC7AD1"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10</w:t>
      </w:r>
      <w:r w:rsidRPr="00F642C9">
        <w:rPr>
          <w:rFonts w:ascii="Arial" w:hAnsi="Arial" w:cs="Arial"/>
          <w:color w:val="444444"/>
        </w:rPr>
        <w:t>-Aynı Kararın geçici 9 uncu maddesinde yer alan “!O numaralı dipnotunun (g) ve (ğ) bentleri” ibaresi “9 numaralı dipnotunun (f) ve (g) bentleri” şeklinde değiştirilmiştir.</w:t>
      </w:r>
    </w:p>
    <w:p w:rsidR="004115F5" w:rsidRPr="00F642C9" w:rsidRDefault="004115F5"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11- </w:t>
      </w:r>
      <w:r w:rsidRPr="00F642C9">
        <w:rPr>
          <w:rFonts w:ascii="Arial" w:hAnsi="Arial" w:cs="Arial"/>
          <w:color w:val="444444"/>
        </w:rPr>
        <w:t>Aynı Kararın geçici 13 üncü maddesine aşağıdaki fıkra eklenmiştir.</w:t>
      </w:r>
    </w:p>
    <w:p w:rsidR="004115F5" w:rsidRPr="00F642C9" w:rsidRDefault="004115F5" w:rsidP="00F64CF1">
      <w:pPr>
        <w:shd w:val="clear" w:color="auto" w:fill="F4F4F2"/>
        <w:spacing w:after="0" w:line="240" w:lineRule="auto"/>
        <w:jc w:val="both"/>
        <w:textAlignment w:val="baseline"/>
        <w:rPr>
          <w:rFonts w:ascii="Arial" w:hAnsi="Arial" w:cs="Arial"/>
          <w:color w:val="444444"/>
        </w:rPr>
      </w:pP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“(5) Bu madde kapsamındaki yatırımlarda, mücbir sebep veya fevkalade hal durumları dışında, asgari yüz kişilik istihdamın sağlanamadığı aylarda sigorta primi işveren hissesi, sigorta primi ve gelir vergisi stopajı destekleri uygulanmaz.”</w:t>
      </w:r>
    </w:p>
    <w:p w:rsidR="00CF6CB9" w:rsidRPr="00F642C9" w:rsidRDefault="00CF6CB9" w:rsidP="00F64CF1">
      <w:pPr>
        <w:shd w:val="clear" w:color="auto" w:fill="F4F4F2"/>
        <w:spacing w:after="0" w:line="240" w:lineRule="auto"/>
        <w:jc w:val="both"/>
        <w:textAlignment w:val="baseline"/>
        <w:rPr>
          <w:rFonts w:ascii="Arial" w:hAnsi="Arial" w:cs="Arial"/>
          <w:bdr w:val="none" w:sz="0" w:space="0" w:color="auto" w:frame="1"/>
        </w:rPr>
      </w:pPr>
      <w:r w:rsidRPr="00F642C9">
        <w:rPr>
          <w:rFonts w:ascii="Arial" w:hAnsi="Arial" w:cs="Arial"/>
          <w:bCs/>
          <w:bdr w:val="none" w:sz="0" w:space="0" w:color="auto" w:frame="1"/>
        </w:rPr>
        <w:t>MADDE 12- </w:t>
      </w:r>
      <w:r w:rsidRPr="00F642C9">
        <w:rPr>
          <w:rFonts w:ascii="Arial" w:hAnsi="Arial" w:cs="Arial"/>
          <w:bdr w:val="none" w:sz="0" w:space="0" w:color="auto" w:frame="1"/>
        </w:rPr>
        <w:t>Aynı Kararın EK-1 sayılı ve “YATIRIM TEŞVİK UYGULAMALARINDA BÖLGELER” başlıklı tablosu aşağıdaki şekilde değiştirilmiştir.</w:t>
      </w:r>
    </w:p>
    <w:p w:rsidR="004115F5" w:rsidRPr="00F642C9" w:rsidRDefault="004115F5" w:rsidP="00F64CF1">
      <w:pPr>
        <w:shd w:val="clear" w:color="auto" w:fill="F4F4F2"/>
        <w:spacing w:after="0" w:line="240" w:lineRule="auto"/>
        <w:jc w:val="both"/>
        <w:textAlignment w:val="baseline"/>
        <w:rPr>
          <w:rFonts w:ascii="Arial" w:hAnsi="Arial" w:cs="Arial"/>
        </w:rPr>
      </w:pPr>
    </w:p>
    <w:tbl>
      <w:tblPr>
        <w:tblW w:w="5000" w:type="pct"/>
        <w:shd w:val="clear" w:color="auto" w:fill="F4F4F2"/>
        <w:tblCellMar>
          <w:left w:w="0" w:type="dxa"/>
          <w:right w:w="0" w:type="dxa"/>
        </w:tblCellMar>
        <w:tblLook w:val="04A0" w:firstRow="1" w:lastRow="0" w:firstColumn="1" w:lastColumn="0" w:noHBand="0" w:noVBand="1"/>
      </w:tblPr>
      <w:tblGrid>
        <w:gridCol w:w="992"/>
        <w:gridCol w:w="1928"/>
        <w:gridCol w:w="1114"/>
        <w:gridCol w:w="1514"/>
        <w:gridCol w:w="1659"/>
        <w:gridCol w:w="1849"/>
      </w:tblGrid>
      <w:tr w:rsidR="004115F5" w:rsidRPr="00F642C9" w:rsidTr="00CF6CB9">
        <w:trPr>
          <w:tblHeader/>
        </w:trPr>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lastRenderedPageBreak/>
              <w:t>1. Bölge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t>2. Bölge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t>3. Bölge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t>4. Bölge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t>5. Bölge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bCs/>
                <w:sz w:val="20"/>
                <w:szCs w:val="20"/>
              </w:rPr>
            </w:pPr>
            <w:r w:rsidRPr="00026775">
              <w:rPr>
                <w:rFonts w:ascii="Arial" w:hAnsi="Arial" w:cs="Arial"/>
                <w:bCs/>
                <w:sz w:val="20"/>
                <w:szCs w:val="20"/>
                <w:bdr w:val="none" w:sz="0" w:space="0" w:color="auto" w:frame="1"/>
              </w:rPr>
              <w:t>6. Bölge</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Ankara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Aydın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Adana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Afyonkarahisar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Bayburt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Adıyaman</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Antalya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Balıkesir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Burdur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Aksaray</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Çankırı</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Ağrı</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Bursa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Bilecik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Düzce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Amasya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Erzurum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Ardahan</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Eskişehir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Bolu</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Gaziantep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Artvin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Giresun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Batman</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İstanbul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026775">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 xml:space="preserve">Çanakkale </w:t>
            </w:r>
            <w:r w:rsidR="00026775">
              <w:rPr>
                <w:rFonts w:ascii="Arial" w:hAnsi="Arial" w:cs="Arial"/>
                <w:sz w:val="20"/>
                <w:szCs w:val="20"/>
                <w:bdr w:val="none" w:sz="0" w:space="0" w:color="auto" w:frame="1"/>
              </w:rPr>
              <w:t>(</w:t>
            </w:r>
            <w:r w:rsidRPr="00026775">
              <w:rPr>
                <w:rFonts w:ascii="Arial" w:hAnsi="Arial" w:cs="Arial"/>
                <w:sz w:val="20"/>
                <w:szCs w:val="20"/>
                <w:bdr w:val="none" w:sz="0" w:space="0" w:color="auto" w:frame="1"/>
              </w:rPr>
              <w:t>Bozcaada ve</w:t>
            </w:r>
            <w:r w:rsidRPr="00026775">
              <w:rPr>
                <w:rFonts w:ascii="Arial" w:hAnsi="Arial" w:cs="Arial"/>
                <w:sz w:val="20"/>
                <w:szCs w:val="20"/>
              </w:rPr>
              <w:br/>
            </w:r>
            <w:r w:rsidRPr="00026775">
              <w:rPr>
                <w:rFonts w:ascii="Arial" w:hAnsi="Arial" w:cs="Arial"/>
                <w:sz w:val="20"/>
                <w:szCs w:val="20"/>
                <w:bdr w:val="none" w:sz="0" w:space="0" w:color="auto" w:frame="1"/>
              </w:rPr>
              <w:t>Gökçeada İlçeleri Hariç)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Karaman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Bartın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Gümüşhane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Bingöl</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İzmir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Denizli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Kırıkkale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Çorum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Kahramanmaraş</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Bitlis</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Kocaeli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Edirne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Kütahya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Elâzığ</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Kilis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Diyarbakır</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Muğla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Isparta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Mersin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Erzincan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Niğde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Hakkâri</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Tekirdağ</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Karabük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Samsun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Hatay</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Ordu</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Iğdır</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Kayseri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Trabzon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Kastamonu</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Osmaniye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Kars</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Kırklareli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Rize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Kırşehir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Sinop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Mardin</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Konya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Uşak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Malatya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Tokat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Muş</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Manisa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Zonguldak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Nevşehir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Tunceli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Siirt</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Sakarya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Sivas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Yozgat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Şanlıurfa</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Yalova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Şırnak</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Van</w:t>
            </w:r>
          </w:p>
        </w:tc>
      </w:tr>
      <w:tr w:rsidR="004115F5" w:rsidRPr="00F642C9"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026775" w:rsidRDefault="00CF6CB9" w:rsidP="00F64CF1">
            <w:pPr>
              <w:spacing w:after="0" w:line="240" w:lineRule="auto"/>
              <w:jc w:val="both"/>
              <w:rPr>
                <w:rFonts w:ascii="Arial" w:hAnsi="Arial" w:cs="Arial"/>
                <w:sz w:val="20"/>
                <w:szCs w:val="20"/>
              </w:rPr>
            </w:pPr>
            <w:r w:rsidRPr="00026775">
              <w:rPr>
                <w:rFonts w:ascii="Arial" w:hAnsi="Arial" w:cs="Arial"/>
                <w:sz w:val="20"/>
                <w:szCs w:val="20"/>
                <w:bdr w:val="none" w:sz="0" w:space="0" w:color="auto" w:frame="1"/>
              </w:rPr>
              <w:t>Bozcaada ve Gökçeada</w:t>
            </w:r>
            <w:r w:rsidRPr="00026775">
              <w:rPr>
                <w:rFonts w:ascii="Arial" w:hAnsi="Arial" w:cs="Arial"/>
                <w:sz w:val="20"/>
                <w:szCs w:val="20"/>
              </w:rPr>
              <w:br/>
            </w:r>
            <w:r w:rsidRPr="00026775">
              <w:rPr>
                <w:rFonts w:ascii="Arial" w:hAnsi="Arial" w:cs="Arial"/>
                <w:sz w:val="20"/>
                <w:szCs w:val="20"/>
                <w:bdr w:val="none" w:sz="0" w:space="0" w:color="auto" w:frame="1"/>
              </w:rPr>
              <w:t>İlçeleri</w:t>
            </w:r>
          </w:p>
        </w:tc>
      </w:tr>
    </w:tbl>
    <w:p w:rsidR="004115F5" w:rsidRPr="00F642C9" w:rsidRDefault="004115F5" w:rsidP="00F64CF1">
      <w:pPr>
        <w:shd w:val="clear" w:color="auto" w:fill="F4F4F2"/>
        <w:spacing w:after="0" w:line="240" w:lineRule="auto"/>
        <w:jc w:val="both"/>
        <w:textAlignment w:val="baseline"/>
        <w:rPr>
          <w:rFonts w:ascii="Arial" w:hAnsi="Arial" w:cs="Arial"/>
          <w:bCs/>
          <w:color w:val="000000"/>
          <w:bdr w:val="none" w:sz="0" w:space="0" w:color="auto" w:frame="1"/>
        </w:rPr>
      </w:pPr>
    </w:p>
    <w:p w:rsidR="004115F5" w:rsidRPr="00F642C9" w:rsidRDefault="004115F5" w:rsidP="00F64CF1">
      <w:pPr>
        <w:shd w:val="clear" w:color="auto" w:fill="F4F4F2"/>
        <w:spacing w:after="0" w:line="240" w:lineRule="auto"/>
        <w:jc w:val="both"/>
        <w:textAlignment w:val="baseline"/>
        <w:rPr>
          <w:rFonts w:ascii="Arial" w:hAnsi="Arial" w:cs="Arial"/>
          <w:bCs/>
          <w:color w:val="000000"/>
          <w:bdr w:val="none" w:sz="0" w:space="0" w:color="auto" w:frame="1"/>
        </w:rPr>
      </w:pP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13-</w:t>
      </w:r>
      <w:r w:rsidRPr="00F642C9">
        <w:rPr>
          <w:rFonts w:ascii="Arial" w:hAnsi="Arial" w:cs="Arial"/>
          <w:color w:val="444444"/>
        </w:rPr>
        <w:t> Aynı Kararın EK-2A sayılı ve “BÖLGESEL DESTEKLERDEN FAYDALANABİLECEK  SEKTÖRLER VE BÖLGELER  İTİBARİYLE ASGARİ YATIRIM TUTARLARI VEYA KAPASİTELERİ” başlıklı tablosunda 1 sektör koduna karşılık gelen satırda yer alan “dipnot 5 ‘te” ibaresi “dipnot 4 ‘te” şeklinde ve 4 sektör koduna karşılık gelen satır aşağıdaki şekilde değiştirilmiştir.</w:t>
      </w:r>
    </w:p>
    <w:p w:rsidR="004115F5" w:rsidRPr="00F642C9" w:rsidRDefault="004115F5" w:rsidP="00F64CF1">
      <w:pPr>
        <w:shd w:val="clear" w:color="auto" w:fill="F4F4F2"/>
        <w:spacing w:after="0" w:line="240" w:lineRule="auto"/>
        <w:jc w:val="both"/>
        <w:textAlignment w:val="baseline"/>
        <w:rPr>
          <w:rFonts w:ascii="Arial" w:hAnsi="Arial" w:cs="Arial"/>
          <w:color w:val="444444"/>
        </w:rPr>
      </w:pPr>
    </w:p>
    <w:p w:rsidR="00885680" w:rsidRPr="00F642C9" w:rsidRDefault="00885680" w:rsidP="00F64CF1">
      <w:pPr>
        <w:shd w:val="clear" w:color="auto" w:fill="F4F4F2"/>
        <w:spacing w:after="0" w:line="240" w:lineRule="auto"/>
        <w:jc w:val="both"/>
        <w:textAlignment w:val="baseline"/>
        <w:rPr>
          <w:rFonts w:ascii="Arial" w:hAnsi="Arial" w:cs="Arial"/>
          <w:i/>
          <w:color w:val="444444"/>
          <w:u w:val="single"/>
        </w:rPr>
      </w:pPr>
      <w:r w:rsidRPr="00F642C9">
        <w:rPr>
          <w:rFonts w:ascii="Arial" w:hAnsi="Arial" w:cs="Arial"/>
          <w:i/>
          <w:color w:val="444444"/>
          <w:u w:val="single"/>
        </w:rPr>
        <w:t>Bu tabloyu yazımızda vermiyoruz. Sözkonusu karar ve eklerine bakılmasını tavsiye ediyoruz</w:t>
      </w:r>
    </w:p>
    <w:p w:rsidR="00885680" w:rsidRPr="00F642C9" w:rsidRDefault="00885680" w:rsidP="00F64CF1">
      <w:pPr>
        <w:shd w:val="clear" w:color="auto" w:fill="F4F4F2"/>
        <w:spacing w:after="0" w:line="240" w:lineRule="auto"/>
        <w:jc w:val="both"/>
        <w:textAlignment w:val="baseline"/>
        <w:rPr>
          <w:rFonts w:ascii="Arial" w:hAnsi="Arial" w:cs="Arial"/>
          <w:color w:val="444444"/>
        </w:rPr>
      </w:pPr>
    </w:p>
    <w:p w:rsidR="001A718F" w:rsidRPr="00F642C9" w:rsidRDefault="001A718F" w:rsidP="00F64CF1">
      <w:pPr>
        <w:shd w:val="clear" w:color="auto" w:fill="F4F4F2"/>
        <w:spacing w:after="0" w:line="240" w:lineRule="auto"/>
        <w:jc w:val="both"/>
        <w:textAlignment w:val="baseline"/>
        <w:rPr>
          <w:rFonts w:ascii="Arial" w:hAnsi="Arial" w:cs="Arial"/>
          <w:bCs/>
          <w:color w:val="000000"/>
          <w:bdr w:val="none" w:sz="0" w:space="0" w:color="auto" w:frame="1"/>
        </w:rPr>
      </w:pPr>
    </w:p>
    <w:p w:rsidR="001A718F" w:rsidRPr="00F642C9" w:rsidRDefault="001A718F" w:rsidP="00F64CF1">
      <w:pPr>
        <w:shd w:val="clear" w:color="auto" w:fill="F4F4F2"/>
        <w:spacing w:after="0" w:line="240" w:lineRule="auto"/>
        <w:jc w:val="both"/>
        <w:textAlignment w:val="baseline"/>
        <w:rPr>
          <w:rFonts w:ascii="Arial" w:hAnsi="Arial" w:cs="Arial"/>
          <w:bCs/>
          <w:color w:val="000000"/>
          <w:bdr w:val="none" w:sz="0" w:space="0" w:color="auto" w:frame="1"/>
        </w:rPr>
      </w:pPr>
    </w:p>
    <w:p w:rsidR="00CF6CB9" w:rsidRPr="00F642C9" w:rsidRDefault="00CF6CB9" w:rsidP="00F64CF1">
      <w:pPr>
        <w:shd w:val="clear" w:color="auto" w:fill="F4F4F2"/>
        <w:spacing w:after="0" w:line="240" w:lineRule="auto"/>
        <w:jc w:val="both"/>
        <w:textAlignment w:val="baseline"/>
        <w:rPr>
          <w:rFonts w:ascii="Arial" w:hAnsi="Arial" w:cs="Arial"/>
          <w:bdr w:val="none" w:sz="0" w:space="0" w:color="auto" w:frame="1"/>
        </w:rPr>
      </w:pPr>
      <w:r w:rsidRPr="00F642C9">
        <w:rPr>
          <w:rFonts w:ascii="Arial" w:hAnsi="Arial" w:cs="Arial"/>
          <w:bCs/>
          <w:color w:val="000000"/>
          <w:bdr w:val="none" w:sz="0" w:space="0" w:color="auto" w:frame="1"/>
        </w:rPr>
        <w:t>MADDE 14-</w:t>
      </w:r>
      <w:r w:rsidRPr="00F642C9">
        <w:rPr>
          <w:rFonts w:ascii="Arial" w:hAnsi="Arial" w:cs="Arial"/>
          <w:color w:val="3366FF"/>
          <w:bdr w:val="none" w:sz="0" w:space="0" w:color="auto" w:frame="1"/>
        </w:rPr>
        <w:t> </w:t>
      </w:r>
      <w:r w:rsidRPr="00F642C9">
        <w:rPr>
          <w:rFonts w:ascii="Arial" w:hAnsi="Arial" w:cs="Arial"/>
          <w:bdr w:val="none" w:sz="0" w:space="0" w:color="auto" w:frame="1"/>
        </w:rPr>
        <w:t>Aynı Kararın EK-2B sayılı ve “İLLERİN BÖLGESEL DESTEKLERDEN YARARLANABİLECEK SEKTÖRLERİNE İLİŞKİN SEKTÖR NUMARALARI” başlıklı tablosu aşağıdaki şekilde değiştirilmiştir.</w:t>
      </w:r>
    </w:p>
    <w:p w:rsidR="00885680" w:rsidRPr="00F642C9" w:rsidRDefault="00885680" w:rsidP="00F64CF1">
      <w:pPr>
        <w:shd w:val="clear" w:color="auto" w:fill="F4F4F2"/>
        <w:spacing w:after="0" w:line="240" w:lineRule="auto"/>
        <w:jc w:val="both"/>
        <w:textAlignment w:val="baseline"/>
        <w:rPr>
          <w:rFonts w:ascii="Arial" w:hAnsi="Arial" w:cs="Arial"/>
          <w:i/>
          <w:u w:val="single"/>
          <w:bdr w:val="none" w:sz="0" w:space="0" w:color="auto" w:frame="1"/>
        </w:rPr>
      </w:pPr>
    </w:p>
    <w:p w:rsidR="00885680" w:rsidRPr="00F642C9" w:rsidRDefault="00885680" w:rsidP="00F64CF1">
      <w:pPr>
        <w:shd w:val="clear" w:color="auto" w:fill="F4F4F2"/>
        <w:spacing w:after="0" w:line="240" w:lineRule="auto"/>
        <w:jc w:val="both"/>
        <w:textAlignment w:val="baseline"/>
        <w:rPr>
          <w:rFonts w:ascii="Arial" w:hAnsi="Arial" w:cs="Arial"/>
          <w:i/>
          <w:u w:val="single"/>
          <w:bdr w:val="none" w:sz="0" w:space="0" w:color="auto" w:frame="1"/>
        </w:rPr>
      </w:pPr>
      <w:r w:rsidRPr="00F642C9">
        <w:rPr>
          <w:rFonts w:ascii="Arial" w:hAnsi="Arial" w:cs="Arial"/>
          <w:i/>
          <w:u w:val="single"/>
          <w:bdr w:val="none" w:sz="0" w:space="0" w:color="auto" w:frame="1"/>
        </w:rPr>
        <w:t xml:space="preserve"> Bu tablo için de söz konusu karar ve eklerine bakılmasını tavsiye ediyoruz. </w:t>
      </w:r>
    </w:p>
    <w:p w:rsidR="009A4CF6" w:rsidRPr="00F642C9" w:rsidRDefault="009A4CF6" w:rsidP="00F64CF1">
      <w:pPr>
        <w:shd w:val="clear" w:color="auto" w:fill="F4F4F2"/>
        <w:spacing w:after="0" w:line="240" w:lineRule="auto"/>
        <w:jc w:val="both"/>
        <w:textAlignment w:val="baseline"/>
        <w:rPr>
          <w:rFonts w:ascii="Arial" w:hAnsi="Arial" w:cs="Arial"/>
          <w:i/>
          <w:u w:val="single"/>
          <w:bdr w:val="none" w:sz="0" w:space="0" w:color="auto" w:frame="1"/>
        </w:rPr>
      </w:pPr>
      <w:r w:rsidRPr="00F642C9">
        <w:rPr>
          <w:rFonts w:ascii="Arial" w:hAnsi="Arial" w:cs="Arial"/>
          <w:i/>
          <w:u w:val="single"/>
          <w:bdr w:val="none" w:sz="0" w:space="0" w:color="auto" w:frame="1"/>
        </w:rPr>
        <w:t xml:space="preserve">Yatırım ve tablolarla ilgili bir önemli düzenleme de dip notlarda yapılmış olup dipnotları aynen aşağıya alıyoruz. </w:t>
      </w:r>
    </w:p>
    <w:p w:rsidR="009A4CF6" w:rsidRPr="00F642C9" w:rsidRDefault="009A4CF6" w:rsidP="00F64CF1">
      <w:pPr>
        <w:shd w:val="clear" w:color="auto" w:fill="F4F4F2"/>
        <w:spacing w:after="0" w:line="240" w:lineRule="auto"/>
        <w:jc w:val="both"/>
        <w:textAlignment w:val="baseline"/>
        <w:rPr>
          <w:rFonts w:ascii="Arial" w:hAnsi="Arial" w:cs="Arial"/>
        </w:rPr>
      </w:pPr>
    </w:p>
    <w:p w:rsidR="00CF6CB9" w:rsidRPr="00F642C9" w:rsidRDefault="00CF6CB9" w:rsidP="001A718F">
      <w:pPr>
        <w:shd w:val="clear" w:color="auto" w:fill="F4F4F2"/>
        <w:spacing w:after="0" w:line="240" w:lineRule="auto"/>
        <w:textAlignment w:val="baseline"/>
        <w:rPr>
          <w:rFonts w:ascii="Arial" w:hAnsi="Arial" w:cs="Arial"/>
          <w:color w:val="444444"/>
        </w:rPr>
      </w:pPr>
      <w:r w:rsidRPr="00F642C9">
        <w:rPr>
          <w:rFonts w:ascii="Arial" w:hAnsi="Arial" w:cs="Arial"/>
          <w:bCs/>
          <w:color w:val="000000"/>
          <w:bdr w:val="none" w:sz="0" w:space="0" w:color="auto" w:frame="1"/>
        </w:rPr>
        <w:lastRenderedPageBreak/>
        <w:t>DİP NOTLAR:</w:t>
      </w:r>
      <w:r w:rsidRPr="00F642C9">
        <w:rPr>
          <w:rFonts w:ascii="Arial" w:hAnsi="Arial" w:cs="Arial"/>
          <w:color w:val="444444"/>
        </w:rPr>
        <w:br/>
        <w:t>1- İstanbul İli hariç olmak üzere Bakanlık tarafından ilan edilen ihtisas organize sanayi bölgelerinde gerçekleştirilecek ihtisas konusundaki yatırımlar, ilgili bölgede seçilmiş sektörler arasında yer almasa dahi bölgesel desteklerden yararlanır.</w:t>
      </w:r>
      <w:r w:rsidRPr="00F642C9">
        <w:rPr>
          <w:rFonts w:ascii="Arial" w:hAnsi="Arial" w:cs="Arial"/>
          <w:color w:val="444444"/>
        </w:rPr>
        <w:br/>
        <w:t>2- Turizm yatırım/işletme belgeli özel tesis, yayla/dağ evi ve butik otel yatırımlarında “3 yıldız ve üzeri” şartı aranmaz.</w:t>
      </w:r>
    </w:p>
    <w:p w:rsidR="00CF6CB9" w:rsidRPr="00F642C9" w:rsidRDefault="00CF6CB9" w:rsidP="009A4CF6">
      <w:pPr>
        <w:shd w:val="clear" w:color="auto" w:fill="F4F4F2"/>
        <w:spacing w:after="0" w:line="240" w:lineRule="auto"/>
        <w:textAlignment w:val="baseline"/>
        <w:rPr>
          <w:rFonts w:ascii="Arial" w:hAnsi="Arial" w:cs="Arial"/>
          <w:color w:val="444444"/>
        </w:rPr>
      </w:pPr>
      <w:r w:rsidRPr="00F642C9">
        <w:rPr>
          <w:rFonts w:ascii="Arial" w:hAnsi="Arial" w:cs="Arial"/>
          <w:color w:val="444444"/>
        </w:rPr>
        <w:t>3- 6 ncı bölgede gerçekleştirilecekler ve US-97 Kodu 2102, 2109.1.02, 2109.3, 2109.4 olan üretim konularına yönelik yatırımlar hariç olmak üzere, sadece kağıt hamurundan başlayan entegre kağıt ve kağıt ürünleri üretimi</w:t>
      </w:r>
      <w:r w:rsidR="009A4CF6" w:rsidRPr="00F642C9">
        <w:rPr>
          <w:rFonts w:ascii="Arial" w:hAnsi="Arial" w:cs="Arial"/>
          <w:color w:val="444444"/>
        </w:rPr>
        <w:t xml:space="preserve"> </w:t>
      </w:r>
      <w:r w:rsidRPr="00F642C9">
        <w:rPr>
          <w:rFonts w:ascii="Arial" w:hAnsi="Arial" w:cs="Arial"/>
          <w:color w:val="444444"/>
        </w:rPr>
        <w:t>konusundaki yatırımlar bölgesel desteklerden yararlanabilir.</w:t>
      </w:r>
      <w:r w:rsidRPr="00F642C9">
        <w:rPr>
          <w:rFonts w:ascii="Arial" w:hAnsi="Arial" w:cs="Arial"/>
          <w:color w:val="444444"/>
        </w:rPr>
        <w:br/>
        <w:t>4- Entegre hayvancılık yatırımlarında;</w:t>
      </w:r>
      <w:r w:rsidRPr="00F642C9">
        <w:rPr>
          <w:rFonts w:ascii="Arial" w:hAnsi="Arial" w:cs="Arial"/>
          <w:color w:val="444444"/>
        </w:rPr>
        <w:br/>
        <w:t>– 1 inci ve 2 nci bölgede: süt yönlü büyükbaş entegre yatırımlarında 500 büyükbaş, et yönlü büyükbaş entegre yatırımlarında 700 büyükbaş/dönem, damızlık büyükbaş entegre yatırımlarında 500 büyükbaş, damızlık küçükbaş hayvan entegre yatırımlarında 2.000 küçükbaş, süt ve et yönlü küçükbaş entegre yatırımlarında 2.000 küçükbaş/dönem ve kanatlı entegre yatırımlarında 200.000 adet/dönem asgari kapasite şartı aranır (damızlık</w:t>
      </w:r>
      <w:r w:rsidR="009A4CF6" w:rsidRPr="00F642C9">
        <w:rPr>
          <w:rFonts w:ascii="Arial" w:hAnsi="Arial" w:cs="Arial"/>
          <w:color w:val="444444"/>
        </w:rPr>
        <w:t xml:space="preserve"> </w:t>
      </w:r>
      <w:r w:rsidRPr="00F642C9">
        <w:rPr>
          <w:rFonts w:ascii="Arial" w:hAnsi="Arial" w:cs="Arial"/>
          <w:color w:val="444444"/>
        </w:rPr>
        <w:t>kanatlı entegre yatırımlarında kapasite şartı aranmaz).</w:t>
      </w:r>
      <w:r w:rsidRPr="00F642C9">
        <w:rPr>
          <w:rFonts w:ascii="Arial" w:hAnsi="Arial" w:cs="Arial"/>
          <w:color w:val="444444"/>
        </w:rPr>
        <w:br/>
        <w:t>– 3 üncü, 4 üncü ve 5 inci bölgede: süt yönlü büyükbaş entegre yatırımlarında 300 büyükbaş, et yönlü büyükbaş entegre yatırımlarında 500 büyükbaş/dönem, damızlık büyükbaş entegre yatırımlarında 300 büyükbaş, damızlık küçükbaş entegre yatırımlarında 1.000 küçükbaş, süt ve et yönlü küçükbaş entegre yatırımlarında 1.000 küçükbaş/dönem ve kanatlı entegre yatırımlarında 200.000 adet/dönem asgari kapasite şartı aranır (damızlık</w:t>
      </w:r>
      <w:r w:rsidR="009A4CF6" w:rsidRPr="00F642C9">
        <w:rPr>
          <w:rFonts w:ascii="Arial" w:hAnsi="Arial" w:cs="Arial"/>
          <w:color w:val="444444"/>
        </w:rPr>
        <w:t xml:space="preserve"> </w:t>
      </w:r>
      <w:r w:rsidRPr="00F642C9">
        <w:rPr>
          <w:rFonts w:ascii="Arial" w:hAnsi="Arial" w:cs="Arial"/>
          <w:color w:val="444444"/>
        </w:rPr>
        <w:t>kanatlı entegre yatırımlarında kapasite şartı aranmaz).</w:t>
      </w:r>
      <w:r w:rsidRPr="00F642C9">
        <w:rPr>
          <w:rFonts w:ascii="Arial" w:hAnsi="Arial" w:cs="Arial"/>
          <w:color w:val="444444"/>
        </w:rPr>
        <w:br/>
        <w:t>5- 6 ncı bölge hariç olmak üzere, gıda ürünleri ve içecek imalatı yatırımlarından “şehriye, kuskus, yufka, kadayıf, ekmek (donuk ekmek ve ekmek hamuru hariç), pirinç, rakı, bira, linter pamuğu, çay, fındık kırma/kavurma, hazır çorba ve et suları ve müstahzarları üretimleri ile tahıl ve baklagil tasnif ve ambalajlanması” yatırımları bölgesel desteklerden yararlanamaz. Ayrıca, 4 üncü, 5 inci ve 6 ncı bölge illerinin organize sanayi bölgelerinde</w:t>
      </w:r>
      <w:r w:rsidR="009A4CF6" w:rsidRPr="00F642C9">
        <w:rPr>
          <w:rFonts w:ascii="Arial" w:hAnsi="Arial" w:cs="Arial"/>
          <w:color w:val="444444"/>
        </w:rPr>
        <w:t xml:space="preserve"> </w:t>
      </w:r>
      <w:r w:rsidRPr="00F642C9">
        <w:rPr>
          <w:rFonts w:ascii="Arial" w:hAnsi="Arial" w:cs="Arial"/>
          <w:color w:val="444444"/>
        </w:rPr>
        <w:t>gerçekleştirilecek komple yeni yatırım cinsindeki yem üretimi yatırımları bölgesel desteklerden yararlanabilir.</w:t>
      </w:r>
      <w:r w:rsidRPr="00F642C9">
        <w:rPr>
          <w:rFonts w:ascii="Arial" w:hAnsi="Arial" w:cs="Arial"/>
          <w:color w:val="444444"/>
        </w:rPr>
        <w:br/>
        <w:t>6- Derinin tabaklanmasına yönelik yatırımlar sadece organize sanayi bölgelerinde teşvik edilir.</w:t>
      </w:r>
      <w:r w:rsidRPr="00F642C9">
        <w:rPr>
          <w:rFonts w:ascii="Arial" w:hAnsi="Arial" w:cs="Arial"/>
          <w:color w:val="444444"/>
        </w:rPr>
        <w:br/>
        <w:t>7- Çuval üretimine yönelik yatırımlar sadece 6 ncı bölge illerinde gerçekleştirilmesi halinde bölgesel desteklerden yararlanır. Dokuma yatırımları ile ilgili olarak 7//2/2019 tarihli ve 798 sayılı Cumhurbaşkanı Kararının 5 inci</w:t>
      </w:r>
      <w:r w:rsidR="009A4CF6" w:rsidRPr="00F642C9">
        <w:rPr>
          <w:rFonts w:ascii="Arial" w:hAnsi="Arial" w:cs="Arial"/>
          <w:color w:val="444444"/>
        </w:rPr>
        <w:t xml:space="preserve"> </w:t>
      </w:r>
      <w:r w:rsidRPr="00F642C9">
        <w:rPr>
          <w:rFonts w:ascii="Arial" w:hAnsi="Arial" w:cs="Arial"/>
          <w:color w:val="444444"/>
        </w:rPr>
        <w:t>maddesi hükmü daha önceki kararlara istinaden düzenlenen teşvik belgeleri de dâhil olmak üzere tamamlama vizesi yapılmamış teşvik belgelerine de uygulanır.</w:t>
      </w:r>
      <w:r w:rsidRPr="00F642C9">
        <w:rPr>
          <w:rFonts w:ascii="Arial" w:hAnsi="Arial" w:cs="Arial"/>
          <w:color w:val="444444"/>
        </w:rPr>
        <w:br/>
        <w:t>8- 6 ncı bölge hariç olmak üzere, I. grup madenler ve mıcır yatırımları ile İstanbul İlinde gerçekleştirilecek maden istihraç ve/veya işleme yatırımları bölgesel desteklerden yararlanamaz.</w:t>
      </w:r>
      <w:r w:rsidRPr="00F642C9">
        <w:rPr>
          <w:rFonts w:ascii="Arial" w:hAnsi="Arial" w:cs="Arial"/>
          <w:color w:val="444444"/>
        </w:rPr>
        <w:br/>
        <w:t>9- Aşağıda belirtilen yatırım konuları bulunduğu bölgede uygulanan bölgesel desteklerden yararlanır:</w:t>
      </w:r>
      <w:r w:rsidRPr="00F642C9">
        <w:rPr>
          <w:rFonts w:ascii="Arial" w:hAnsi="Arial" w:cs="Arial"/>
          <w:color w:val="444444"/>
        </w:rPr>
        <w:br/>
        <w:t>a) Müteharrik karakterli araçlar hariç olmak üzere lojistik yatırımları.</w:t>
      </w:r>
      <w:r w:rsidRPr="00F642C9">
        <w:rPr>
          <w:rFonts w:ascii="Arial" w:hAnsi="Arial" w:cs="Arial"/>
          <w:color w:val="444444"/>
        </w:rPr>
        <w:br/>
        <w:t>b) Jeotermal enerji ile veya enerji santralleri atık ısısı ile konut ısıtma/soğutma yatırımları.</w:t>
      </w:r>
      <w:r w:rsidRPr="00F642C9">
        <w:rPr>
          <w:rFonts w:ascii="Arial" w:hAnsi="Arial" w:cs="Arial"/>
          <w:color w:val="444444"/>
        </w:rPr>
        <w:br/>
        <w:t>c) Asgari 5 milyon TL tutarındaki havalimanı ve havalimanı yer hizmetleri yatırımları ile liman ve liman hizmetleri yatırımları (yat limanı ve marina dâhil).</w:t>
      </w:r>
      <w:r w:rsidRPr="00F642C9">
        <w:rPr>
          <w:rFonts w:ascii="Arial" w:hAnsi="Arial" w:cs="Arial"/>
          <w:color w:val="444444"/>
        </w:rPr>
        <w:br/>
        <w:t>ç) İstanbul İli hariç olmak üzere, rafine edilmiş petrol ürünleri yatırımları.</w:t>
      </w:r>
      <w:r w:rsidRPr="00F642C9">
        <w:rPr>
          <w:rFonts w:ascii="Arial" w:hAnsi="Arial" w:cs="Arial"/>
          <w:color w:val="444444"/>
        </w:rPr>
        <w:br/>
        <w:t>d) 4 üncü ve 5 inci bölgelerde gerçekleştirilecek cam ve cam ürünleri imalatı konusundaki yatırımlar (çok katlı yalıtım camları hariç).</w:t>
      </w:r>
      <w:r w:rsidRPr="00F642C9">
        <w:rPr>
          <w:rFonts w:ascii="Arial" w:hAnsi="Arial" w:cs="Arial"/>
          <w:color w:val="444444"/>
        </w:rPr>
        <w:br/>
        <w:t>e) Turizm yatırım veya işletme belgeli deniz turizmi tesis yatırımları.</w:t>
      </w:r>
      <w:r w:rsidRPr="00F642C9">
        <w:rPr>
          <w:rFonts w:ascii="Arial" w:hAnsi="Arial" w:cs="Arial"/>
          <w:color w:val="444444"/>
        </w:rPr>
        <w:br/>
        <w:t>f) 5 inci bölge illerinde aynı organize sanayi bölgesinde gerçekleştirilecek komple yeni cinsindeki iplik, dokuma ve apreleme konularında her üç yatırım konusunu içeren entegre yatırımlardan, iplik ve dokuma kapasitesinin apreleme kapasitesini aşmaması kaydıyla EK-2A ve EK-4’de belirtilen asgari tutarları ayrı ayrı sağlayan yatırımlar.</w:t>
      </w:r>
      <w:r w:rsidRPr="00F642C9">
        <w:rPr>
          <w:rFonts w:ascii="Arial" w:hAnsi="Arial" w:cs="Arial"/>
          <w:color w:val="444444"/>
        </w:rPr>
        <w:br/>
        <w:t>g) 4 üncü ve 5 inci bölgelerde gerçekleştirilecek kauçuk ve kauçuk ürünleri imalatı konusundaki yatırımlar.</w:t>
      </w:r>
      <w:r w:rsidRPr="00F642C9">
        <w:rPr>
          <w:rFonts w:ascii="Arial" w:hAnsi="Arial" w:cs="Arial"/>
          <w:color w:val="444444"/>
        </w:rPr>
        <w:br/>
      </w:r>
      <w:r w:rsidRPr="00F642C9">
        <w:rPr>
          <w:rFonts w:ascii="Arial" w:hAnsi="Arial" w:cs="Arial"/>
          <w:color w:val="444444"/>
        </w:rPr>
        <w:lastRenderedPageBreak/>
        <w:t>ğ) US- 97 kodu 2519.0.04 olan vulkanize edilmiş kauçuktan taşıyıcı kolonlar ve transmisyon kolonları üretimine yönelik yatırımlar (depremde hasar önleyici sismik izolasyon cihazı, epoksi kaplı öngerme halatı vb.)</w:t>
      </w:r>
      <w:r w:rsidRPr="00F642C9">
        <w:rPr>
          <w:rFonts w:ascii="Arial" w:hAnsi="Arial" w:cs="Arial"/>
          <w:color w:val="444444"/>
        </w:rPr>
        <w:br/>
        <w:t>10-Birden fazla bölgede gerçekleştirilecek bölgesel yatırımlar, görece daha fazla gelişmiş bölgenin desteklerinden yararlanır. Ancak, bölgesel nitelikteki entegrasyon yatırımlarında entegrasyonu oluşturan ve farklı bölgelerde</w:t>
      </w:r>
      <w:r w:rsidRPr="00F642C9">
        <w:rPr>
          <w:rFonts w:ascii="Arial" w:hAnsi="Arial" w:cs="Arial"/>
          <w:color w:val="444444"/>
        </w:rPr>
        <w:br/>
        <w:t>gerçekleştirilecek yatırımlar, ayrı teşvik belgesi düzenlenmesi kaydıyla bulunduğu bölgenin desteklerinden yararlanır.</w:t>
      </w:r>
      <w:r w:rsidRPr="00F642C9">
        <w:rPr>
          <w:rFonts w:ascii="Arial" w:hAnsi="Arial" w:cs="Arial"/>
          <w:color w:val="444444"/>
        </w:rPr>
        <w:br/>
        <w:t>11- Asgari 5 milyon TL tutarındaki sondaj yatırımları 2 nci bölgede uygulanan bölgesel desteklerden yararlanır.</w:t>
      </w:r>
      <w:r w:rsidRPr="00F642C9">
        <w:rPr>
          <w:rFonts w:ascii="Arial" w:hAnsi="Arial" w:cs="Arial"/>
          <w:color w:val="444444"/>
        </w:rPr>
        <w:br/>
        <w:t>12- İstanbul ili hariç olmak üzere, kenevir, keten, jüt vb. kabuk liflerin elyaf haline getirilmesi yatırımı ile entegre iplik yatırımları.</w:t>
      </w:r>
      <w:r w:rsidRPr="00F642C9">
        <w:rPr>
          <w:rFonts w:ascii="Arial" w:hAnsi="Arial" w:cs="Arial"/>
          <w:color w:val="444444"/>
        </w:rPr>
        <w:br/>
      </w:r>
      <w:r w:rsidRPr="00F642C9">
        <w:rPr>
          <w:rFonts w:ascii="Arial" w:hAnsi="Arial" w:cs="Arial"/>
          <w:bCs/>
          <w:color w:val="000000"/>
          <w:bdr w:val="none" w:sz="0" w:space="0" w:color="auto" w:frame="1"/>
        </w:rPr>
        <w:t>MADDE 15</w:t>
      </w:r>
      <w:r w:rsidRPr="00F642C9">
        <w:rPr>
          <w:rFonts w:ascii="Arial" w:hAnsi="Arial" w:cs="Arial"/>
          <w:color w:val="444444"/>
        </w:rPr>
        <w:t>-Aynı Kararın EK-4 sayılı ve “TEŞVİK EDİLMEYECEK VEYA TEŞVİKİ</w:t>
      </w:r>
      <w:r w:rsidRPr="00F642C9">
        <w:rPr>
          <w:rFonts w:ascii="Arial" w:hAnsi="Arial" w:cs="Arial"/>
          <w:color w:val="444444"/>
        </w:rPr>
        <w:br/>
        <w:t>BELİRLİ ŞARTLARA BAĞLI YATIRIM KONULARI” başlıklı ekinin;</w:t>
      </w:r>
      <w:r w:rsidRPr="00F642C9">
        <w:rPr>
          <w:rFonts w:ascii="Arial" w:hAnsi="Arial" w:cs="Arial"/>
          <w:color w:val="444444"/>
        </w:rPr>
        <w:br/>
        <w:t>a) 1/A bölümünün (1) numaralı sırası aşağıdaki şekilde değiştirilmiş ve aynı bölüme aşağıda yer alan (8) numaralı sıra eklenmiştir.</w:t>
      </w:r>
    </w:p>
    <w:p w:rsidR="00CF6CB9" w:rsidRPr="00F642C9" w:rsidRDefault="00CF6CB9" w:rsidP="009A4CF6">
      <w:pPr>
        <w:shd w:val="clear" w:color="auto" w:fill="F4F4F2"/>
        <w:spacing w:after="225" w:line="240" w:lineRule="auto"/>
        <w:textAlignment w:val="baseline"/>
        <w:rPr>
          <w:rFonts w:ascii="Arial" w:hAnsi="Arial" w:cs="Arial"/>
          <w:color w:val="444444"/>
        </w:rPr>
      </w:pPr>
      <w:r w:rsidRPr="00F642C9">
        <w:rPr>
          <w:rFonts w:ascii="Arial" w:hAnsi="Arial" w:cs="Arial"/>
          <w:color w:val="444444"/>
        </w:rPr>
        <w:t xml:space="preserve">“1-Un, irmik (makarna imalatı ile entegre irmik yatırımları ve mısır irmiği yatırımlan hariç), yem (balık unu, balık yağı, balık yemi, entegre hayvancılık üretimi içindeki yem üretimi ve 4 üncü, 5 inci ve 6 ncı bölge illerinin organize sanayi bölgelerinde gerçekleştirilecek komple yeni yatırım cinsindeki yem üretimi hariç), mısır nişastası ve nişasta bazlı şeker (nişasta sütünden, münhasıran kristal fuktoz üretimine yönelik yatırımlar hariç), mısır nişastası ve nişasta bazlı şeker (nişasta sütünden, </w:t>
      </w:r>
      <w:r w:rsidR="009A4CF6" w:rsidRPr="00F642C9">
        <w:rPr>
          <w:rFonts w:ascii="Arial" w:hAnsi="Arial" w:cs="Arial"/>
          <w:color w:val="444444"/>
        </w:rPr>
        <w:t xml:space="preserve"> m</w:t>
      </w:r>
      <w:r w:rsidRPr="00F642C9">
        <w:rPr>
          <w:rFonts w:ascii="Arial" w:hAnsi="Arial" w:cs="Arial"/>
          <w:color w:val="444444"/>
        </w:rPr>
        <w:t>ünhasıran kristal</w:t>
      </w:r>
      <w:r w:rsidR="009A4CF6" w:rsidRPr="00F642C9">
        <w:rPr>
          <w:rFonts w:ascii="Arial" w:hAnsi="Arial" w:cs="Arial"/>
          <w:color w:val="444444"/>
        </w:rPr>
        <w:t xml:space="preserve"> </w:t>
      </w:r>
      <w:r w:rsidRPr="00F642C9">
        <w:rPr>
          <w:rFonts w:ascii="Arial" w:hAnsi="Arial" w:cs="Arial"/>
          <w:color w:val="444444"/>
        </w:rPr>
        <w:t>fruktoz üretimine yönelik yatırımlar hariç).”</w:t>
      </w:r>
      <w:r w:rsidRPr="00F642C9">
        <w:rPr>
          <w:rFonts w:ascii="Arial" w:hAnsi="Arial" w:cs="Arial"/>
          <w:color w:val="444444"/>
        </w:rPr>
        <w:br/>
        <w:t>“8- Tütün ürünleri imalatı.”</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b) I/B bölümünün (3) numaralı sırası aşağıdaki şekilde değiştirilmiş ve aynı bölüme aşağıda yer alan (9) ve (1O) numaralı sıralar eklenmiştir.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“3-l S milyon TL altındaki modernizasyon yatırım cinsi dışında kalan kısa elyaf iplikçiliği (İstanbul ili dış</w:t>
      </w:r>
      <w:r w:rsidR="009A4CF6" w:rsidRPr="00F642C9">
        <w:rPr>
          <w:rFonts w:ascii="Arial" w:hAnsi="Arial" w:cs="Arial"/>
          <w:color w:val="444444"/>
        </w:rPr>
        <w:t>ın</w:t>
      </w:r>
      <w:r w:rsidRPr="00F642C9">
        <w:rPr>
          <w:rFonts w:ascii="Arial" w:hAnsi="Arial" w:cs="Arial"/>
          <w:color w:val="444444"/>
        </w:rPr>
        <w:t>daki illerde gerçekleştirilecek kenevir, keten, jüt vb. kabuk liflerin elyaf haline getirilmesi yatırımı ile entegre iplik yatırımları hariç) yatırımları.”</w:t>
      </w:r>
      <w:r w:rsidRPr="00F642C9">
        <w:rPr>
          <w:rFonts w:ascii="Arial" w:hAnsi="Arial" w:cs="Arial"/>
          <w:color w:val="444444"/>
        </w:rPr>
        <w:br/>
        <w:t>“9- Güneş enerjisinden elektrik üretimi yatırımlarında; modernizasyon niteliğindeki yatırımlar, 240 KW altı kapasitedeki (çatı dahil) yatırımlar.</w:t>
      </w:r>
      <w:r w:rsidRPr="00F642C9">
        <w:rPr>
          <w:rFonts w:ascii="Arial" w:hAnsi="Arial" w:cs="Arial"/>
          <w:color w:val="444444"/>
        </w:rPr>
        <w:br/>
        <w:t>10- Doğal asfalt, bitüm, petrol bitümü, mineral katran veya zift esaslı, bitümlü karışımlar üretimine yönelik yatırımlar.”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c) II/C bölümünün (1) ve (6) numaralı sıralan aşağıdaki şekilde değiştirilmiştir.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“1- Bir veya birkaç yerde gümrükleme ve sigortacılık hizmetlerinin de sunulduğu antrepo, elleçleme-paketleme ve otomasyon hizmetlerini birlikte içeren, asgari toplam kapalı alanı 5.000 m2 olan entegre lojistik yatırımları için teşvik belgesi düzenlenebilir. Kara yolu taşımacılığı yatırımları için Ulaştırma ve Altyapı Bakanlığından alınmış L2 belgesinin yatırım süresi sonuna kadar ibraz edilmesi gerekir. Söz konusu teşvik belgeleri kapsamına yük taşımacılığına yönelik araçlar dahil edilmez.”</w:t>
      </w:r>
      <w:r w:rsidRPr="00F642C9">
        <w:rPr>
          <w:rFonts w:ascii="Arial" w:hAnsi="Arial" w:cs="Arial"/>
          <w:color w:val="444444"/>
        </w:rPr>
        <w:br/>
        <w:t>“6- Spor tesisi yatırımlarında asgari 15 milyon TL sabit yatırım şartı aranır.”</w:t>
      </w:r>
    </w:p>
    <w:p w:rsidR="00CF6CB9" w:rsidRPr="00F642C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16-</w:t>
      </w:r>
      <w:r w:rsidRPr="00F642C9">
        <w:rPr>
          <w:rFonts w:ascii="Arial" w:hAnsi="Arial" w:cs="Arial"/>
          <w:color w:val="444444"/>
        </w:rPr>
        <w:t> Aynı Kararın EK-6 sayılı ve “4. BÖLGE DESTEKLERİNDEN FAYDALANABİLECEK ORTA-YÜKSEK TEKNOLOJİLİ YATIRIM KONULARI” başlıklı</w:t>
      </w:r>
      <w:r w:rsidRPr="00F642C9">
        <w:rPr>
          <w:rFonts w:ascii="Arial" w:hAnsi="Arial" w:cs="Arial"/>
          <w:color w:val="444444"/>
        </w:rPr>
        <w:br/>
        <w:t>tablosu aşağıdaki şekilde değiştirilmiştir.</w:t>
      </w:r>
    </w:p>
    <w:p w:rsidR="00CF6CB9" w:rsidRPr="00F642C9" w:rsidRDefault="00CF6CB9" w:rsidP="00F64CF1">
      <w:pPr>
        <w:shd w:val="clear" w:color="auto" w:fill="F4F4F2"/>
        <w:spacing w:after="225" w:line="240" w:lineRule="auto"/>
        <w:jc w:val="both"/>
        <w:textAlignment w:val="baseline"/>
        <w:rPr>
          <w:rFonts w:ascii="Arial" w:hAnsi="Arial" w:cs="Arial"/>
          <w:color w:val="444444"/>
        </w:rPr>
      </w:pPr>
      <w:r w:rsidRPr="00F642C9">
        <w:rPr>
          <w:rFonts w:ascii="Arial" w:hAnsi="Arial" w:cs="Arial"/>
          <w:color w:val="444444"/>
        </w:rPr>
        <w:t>“EK-6</w:t>
      </w:r>
      <w:r w:rsidR="009A4CF6" w:rsidRPr="00F642C9">
        <w:rPr>
          <w:rFonts w:ascii="Arial" w:hAnsi="Arial" w:cs="Arial"/>
          <w:color w:val="444444"/>
        </w:rPr>
        <w:t xml:space="preserve">  </w:t>
      </w:r>
      <w:r w:rsidRPr="00F642C9">
        <w:rPr>
          <w:rFonts w:ascii="Arial" w:hAnsi="Arial" w:cs="Arial"/>
          <w:color w:val="444444"/>
        </w:rPr>
        <w:t>4. BÖLGE DESTEKLERİNDEN FAYDALANABİLECEK ORTA-YÜKSEK TEKNOLOJİLİ YATIRIM KONULARI</w:t>
      </w:r>
    </w:p>
    <w:tbl>
      <w:tblPr>
        <w:tblW w:w="7485" w:type="dxa"/>
        <w:shd w:val="clear" w:color="auto" w:fill="F4F4F2"/>
        <w:tblCellMar>
          <w:left w:w="0" w:type="dxa"/>
          <w:right w:w="0" w:type="dxa"/>
        </w:tblCellMar>
        <w:tblLook w:val="04A0" w:firstRow="1" w:lastRow="0" w:firstColumn="1" w:lastColumn="0" w:noHBand="0" w:noVBand="1"/>
      </w:tblPr>
      <w:tblGrid>
        <w:gridCol w:w="1113"/>
        <w:gridCol w:w="6372"/>
      </w:tblGrid>
      <w:tr w:rsidR="00CF6CB9" w:rsidRPr="00F64CF1" w:rsidTr="00CF6CB9">
        <w:trPr>
          <w:tblHeader/>
        </w:trPr>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bCs/>
                <w:color w:val="444444"/>
                <w:sz w:val="20"/>
                <w:szCs w:val="20"/>
              </w:rPr>
            </w:pPr>
            <w:r w:rsidRPr="009A4CF6">
              <w:rPr>
                <w:rFonts w:ascii="Arial" w:hAnsi="Arial" w:cs="Arial"/>
                <w:color w:val="444444"/>
                <w:sz w:val="20"/>
                <w:szCs w:val="20"/>
                <w:bdr w:val="none" w:sz="0" w:space="0" w:color="auto" w:frame="1"/>
              </w:rPr>
              <w:lastRenderedPageBreak/>
              <w:t>24 (2423 hariç)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bCs/>
                <w:color w:val="444444"/>
                <w:sz w:val="20"/>
                <w:szCs w:val="20"/>
              </w:rPr>
            </w:pPr>
            <w:r w:rsidRPr="009A4CF6">
              <w:rPr>
                <w:rFonts w:ascii="Arial" w:hAnsi="Arial" w:cs="Arial"/>
                <w:color w:val="444444"/>
                <w:sz w:val="20"/>
                <w:szCs w:val="20"/>
                <w:bdr w:val="none" w:sz="0" w:space="0" w:color="auto" w:frame="1"/>
              </w:rPr>
              <w:t>Kimyasal Madde ve Ürünlerin İmalatı (İlaç/eczacılıkta ve tıpta kullanılan kimyasal ve bitkisel kaynaklı ürünlerin imalatı hariç)</w:t>
            </w:r>
          </w:p>
        </w:tc>
      </w:tr>
      <w:tr w:rsidR="00CF6CB9" w:rsidRPr="00F64CF1"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B.Y.S. Makine ve Teçhizat İmalatı</w:t>
            </w:r>
          </w:p>
        </w:tc>
      </w:tr>
      <w:tr w:rsidR="00CF6CB9" w:rsidRPr="00F64CF1"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B.Y.S. Elektrikli Makine ve Cihazların İmalatı</w:t>
            </w:r>
          </w:p>
        </w:tc>
      </w:tr>
      <w:tr w:rsidR="00CF6CB9" w:rsidRPr="00F64CF1"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Motorlu Kara Taşıtları İmalatı</w:t>
            </w:r>
          </w:p>
        </w:tc>
      </w:tr>
      <w:tr w:rsidR="00CF6CB9" w:rsidRPr="00F64CF1"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352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Demiryolu ve Tramvay Lokomotifleri ile Va onlarının İmalatı</w:t>
            </w:r>
          </w:p>
        </w:tc>
      </w:tr>
      <w:tr w:rsidR="00CF6CB9" w:rsidRPr="00F64CF1" w:rsidTr="00CF6CB9">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359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90" w:type="dxa"/>
              <w:left w:w="90" w:type="dxa"/>
              <w:bottom w:w="90" w:type="dxa"/>
              <w:right w:w="90" w:type="dxa"/>
            </w:tcMar>
            <w:vAlign w:val="bottom"/>
            <w:hideMark/>
          </w:tcPr>
          <w:p w:rsidR="00CF6CB9" w:rsidRPr="009A4CF6" w:rsidRDefault="00CF6CB9" w:rsidP="00F64CF1">
            <w:pPr>
              <w:spacing w:after="0" w:line="240" w:lineRule="auto"/>
              <w:jc w:val="both"/>
              <w:rPr>
                <w:rFonts w:ascii="Arial" w:hAnsi="Arial" w:cs="Arial"/>
                <w:color w:val="444444"/>
                <w:sz w:val="20"/>
                <w:szCs w:val="20"/>
              </w:rPr>
            </w:pPr>
            <w:r w:rsidRPr="009A4CF6">
              <w:rPr>
                <w:rFonts w:ascii="Arial" w:hAnsi="Arial" w:cs="Arial"/>
                <w:color w:val="444444"/>
                <w:sz w:val="20"/>
                <w:szCs w:val="20"/>
              </w:rPr>
              <w:t>B.Y.S. Ulaşım Araçları İmalatı</w:t>
            </w:r>
          </w:p>
        </w:tc>
      </w:tr>
    </w:tbl>
    <w:p w:rsidR="001A718F" w:rsidRDefault="001A718F" w:rsidP="00F64CF1">
      <w:pPr>
        <w:shd w:val="clear" w:color="auto" w:fill="F4F4F2"/>
        <w:spacing w:after="0" w:line="240" w:lineRule="auto"/>
        <w:jc w:val="both"/>
        <w:textAlignment w:val="baseline"/>
        <w:rPr>
          <w:rFonts w:ascii="Arial" w:hAnsi="Arial" w:cs="Arial"/>
          <w:bCs/>
          <w:color w:val="000000"/>
          <w:sz w:val="24"/>
          <w:szCs w:val="24"/>
          <w:bdr w:val="none" w:sz="0" w:space="0" w:color="auto" w:frame="1"/>
        </w:rPr>
      </w:pPr>
    </w:p>
    <w:p w:rsidR="001A718F" w:rsidRDefault="001A718F" w:rsidP="00F64CF1">
      <w:pPr>
        <w:shd w:val="clear" w:color="auto" w:fill="F4F4F2"/>
        <w:spacing w:after="0" w:line="240" w:lineRule="auto"/>
        <w:jc w:val="both"/>
        <w:textAlignment w:val="baseline"/>
        <w:rPr>
          <w:rFonts w:ascii="Arial" w:hAnsi="Arial" w:cs="Arial"/>
          <w:bCs/>
          <w:color w:val="000000"/>
          <w:sz w:val="24"/>
          <w:szCs w:val="24"/>
          <w:bdr w:val="none" w:sz="0" w:space="0" w:color="auto" w:frame="1"/>
        </w:rPr>
      </w:pPr>
    </w:p>
    <w:p w:rsidR="00CF6CB9" w:rsidRPr="00F64CF1" w:rsidRDefault="00CF6CB9" w:rsidP="00F64CF1">
      <w:pPr>
        <w:shd w:val="clear" w:color="auto" w:fill="F4F4F2"/>
        <w:spacing w:after="0" w:line="240" w:lineRule="auto"/>
        <w:jc w:val="both"/>
        <w:textAlignment w:val="baseline"/>
        <w:rPr>
          <w:rFonts w:ascii="Arial" w:hAnsi="Arial" w:cs="Arial"/>
          <w:color w:val="444444"/>
          <w:sz w:val="24"/>
          <w:szCs w:val="24"/>
        </w:rPr>
      </w:pPr>
      <w:r w:rsidRPr="00F64CF1">
        <w:rPr>
          <w:rFonts w:ascii="Arial" w:hAnsi="Arial" w:cs="Arial"/>
          <w:bCs/>
          <w:color w:val="000000"/>
          <w:sz w:val="24"/>
          <w:szCs w:val="24"/>
          <w:bdr w:val="none" w:sz="0" w:space="0" w:color="auto" w:frame="1"/>
        </w:rPr>
        <w:t>MADDE 17-</w:t>
      </w:r>
      <w:r w:rsidRPr="00F64CF1">
        <w:rPr>
          <w:rFonts w:ascii="Arial" w:hAnsi="Arial" w:cs="Arial"/>
          <w:color w:val="444444"/>
          <w:sz w:val="24"/>
          <w:szCs w:val="24"/>
        </w:rPr>
        <w:t> Aynı Karara aşağıdaki tablo eklenmiştir.</w:t>
      </w:r>
    </w:p>
    <w:p w:rsidR="00BC6D4A" w:rsidRPr="00E4732C" w:rsidRDefault="00BC6D4A" w:rsidP="00F64CF1">
      <w:pPr>
        <w:shd w:val="clear" w:color="auto" w:fill="F4F4F2"/>
        <w:spacing w:after="0" w:line="240" w:lineRule="auto"/>
        <w:jc w:val="both"/>
        <w:textAlignment w:val="baseline"/>
        <w:rPr>
          <w:rFonts w:ascii="Arial" w:hAnsi="Arial" w:cs="Arial"/>
          <w:sz w:val="20"/>
          <w:szCs w:val="20"/>
        </w:rPr>
      </w:pPr>
    </w:p>
    <w:p w:rsidR="00CF6CB9" w:rsidRDefault="00CF6CB9" w:rsidP="00F64CF1">
      <w:pPr>
        <w:shd w:val="clear" w:color="auto" w:fill="F4F4F2"/>
        <w:spacing w:after="0" w:line="240" w:lineRule="auto"/>
        <w:jc w:val="both"/>
        <w:textAlignment w:val="baseline"/>
        <w:rPr>
          <w:rFonts w:ascii="Arial" w:hAnsi="Arial" w:cs="Arial"/>
          <w:sz w:val="20"/>
          <w:szCs w:val="20"/>
          <w:bdr w:val="none" w:sz="0" w:space="0" w:color="auto" w:frame="1"/>
        </w:rPr>
      </w:pPr>
      <w:r w:rsidRPr="00E4732C">
        <w:rPr>
          <w:rFonts w:ascii="Arial" w:hAnsi="Arial" w:cs="Arial"/>
          <w:sz w:val="20"/>
          <w:szCs w:val="20"/>
        </w:rPr>
        <w:t>“EK-7</w:t>
      </w:r>
      <w:r w:rsidR="00BC6D4A" w:rsidRPr="00E4732C">
        <w:rPr>
          <w:rFonts w:ascii="Arial" w:hAnsi="Arial" w:cs="Arial"/>
          <w:sz w:val="20"/>
          <w:szCs w:val="20"/>
        </w:rPr>
        <w:t xml:space="preserve"> </w:t>
      </w:r>
      <w:hyperlink r:id="rId7" w:history="1">
        <w:r w:rsidRPr="00E4732C">
          <w:rPr>
            <w:rFonts w:ascii="Arial" w:hAnsi="Arial" w:cs="Arial"/>
            <w:sz w:val="20"/>
            <w:szCs w:val="20"/>
            <w:u w:val="single"/>
            <w:bdr w:val="none" w:sz="0" w:space="0" w:color="auto" w:frame="1"/>
          </w:rPr>
          <w:t>ALT BÖLGE DESTEĞİNDEN YARARLANABİLECEK İLÇELER</w:t>
        </w:r>
      </w:hyperlink>
    </w:p>
    <w:p w:rsidR="009A4CF6" w:rsidRPr="00E4732C" w:rsidRDefault="009A4CF6" w:rsidP="00F64CF1">
      <w:pPr>
        <w:shd w:val="clear" w:color="auto" w:fill="F4F4F2"/>
        <w:spacing w:after="0" w:line="240" w:lineRule="auto"/>
        <w:jc w:val="both"/>
        <w:textAlignment w:val="baseline"/>
        <w:rPr>
          <w:rFonts w:ascii="Arial" w:hAnsi="Arial" w:cs="Arial"/>
          <w:sz w:val="20"/>
          <w:szCs w:val="20"/>
        </w:rPr>
      </w:pPr>
    </w:p>
    <w:tbl>
      <w:tblPr>
        <w:tblW w:w="8779" w:type="dxa"/>
        <w:shd w:val="clear" w:color="auto" w:fill="F4F4F2"/>
        <w:tblLayout w:type="fixed"/>
        <w:tblCellMar>
          <w:left w:w="0" w:type="dxa"/>
          <w:right w:w="0" w:type="dxa"/>
        </w:tblCellMar>
        <w:tblLook w:val="04A0" w:firstRow="1" w:lastRow="0" w:firstColumn="1" w:lastColumn="0" w:noHBand="0" w:noVBand="1"/>
      </w:tblPr>
      <w:tblGrid>
        <w:gridCol w:w="1266"/>
        <w:gridCol w:w="7513"/>
      </w:tblGrid>
      <w:tr w:rsidR="00E4732C" w:rsidRPr="00E4732C" w:rsidTr="00885680">
        <w:trPr>
          <w:trHeight w:val="420"/>
        </w:trPr>
        <w:tc>
          <w:tcPr>
            <w:tcW w:w="1266" w:type="dxa"/>
            <w:tcBorders>
              <w:top w:val="single" w:sz="8" w:space="0" w:color="000000"/>
              <w:left w:val="single" w:sz="8" w:space="0" w:color="000000"/>
              <w:bottom w:val="nil"/>
              <w:right w:val="single" w:sz="8" w:space="0" w:color="000000"/>
            </w:tcBorders>
            <w:shd w:val="clear" w:color="auto" w:fill="auto"/>
            <w:tcMar>
              <w:top w:w="0" w:type="dxa"/>
              <w:left w:w="15" w:type="dxa"/>
              <w:bottom w:w="0" w:type="dxa"/>
              <w:right w:w="15" w:type="dxa"/>
            </w:tcMar>
            <w:vAlign w:val="center"/>
            <w:hideMark/>
          </w:tcPr>
          <w:p w:rsidR="00CF6CB9" w:rsidRPr="00E4732C" w:rsidRDefault="00BC6D4A" w:rsidP="00F64CF1">
            <w:pPr>
              <w:spacing w:after="0" w:line="240" w:lineRule="auto"/>
              <w:jc w:val="both"/>
              <w:rPr>
                <w:rFonts w:ascii="Arial" w:hAnsi="Arial" w:cs="Arial"/>
                <w:sz w:val="20"/>
                <w:szCs w:val="20"/>
              </w:rPr>
            </w:pPr>
            <w:r w:rsidRPr="00E4732C">
              <w:rPr>
                <w:rFonts w:ascii="Arial" w:hAnsi="Arial" w:cs="Arial"/>
                <w:sz w:val="20"/>
                <w:szCs w:val="20"/>
              </w:rPr>
              <w:t>Ankara</w:t>
            </w:r>
          </w:p>
        </w:tc>
        <w:tc>
          <w:tcPr>
            <w:tcW w:w="7513" w:type="dxa"/>
            <w:tcBorders>
              <w:top w:val="single" w:sz="8" w:space="0" w:color="000000"/>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A72390">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Çamlıdere</w:t>
            </w:r>
            <w:r w:rsidR="00BC6D4A" w:rsidRPr="00E4732C">
              <w:rPr>
                <w:rFonts w:ascii="Arial" w:hAnsi="Arial" w:cs="Arial"/>
                <w:sz w:val="20"/>
                <w:szCs w:val="20"/>
                <w:bdr w:val="none" w:sz="0" w:space="0" w:color="auto" w:frame="1"/>
              </w:rPr>
              <w:t xml:space="preserve">,Bala,Haymana, </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Adana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A72390" w:rsidP="00A72390">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 xml:space="preserve"> Yumurtalık,İmamoğlu,Karataş,</w:t>
            </w:r>
            <w:r w:rsidRPr="00E4732C">
              <w:rPr>
                <w:rFonts w:ascii="Arial" w:hAnsi="Arial" w:cs="Arial"/>
                <w:sz w:val="20"/>
                <w:szCs w:val="20"/>
                <w:bdr w:val="none" w:sz="0" w:space="0" w:color="auto" w:frame="1"/>
              </w:rPr>
              <w:t xml:space="preserve"> </w:t>
            </w:r>
            <w:r w:rsidRPr="00E4732C">
              <w:rPr>
                <w:rFonts w:ascii="Arial" w:hAnsi="Arial" w:cs="Arial"/>
                <w:sz w:val="20"/>
                <w:szCs w:val="20"/>
                <w:bdr w:val="none" w:sz="0" w:space="0" w:color="auto" w:frame="1"/>
              </w:rPr>
              <w:t>Karaisalı</w:t>
            </w:r>
            <w:r w:rsidRPr="00E4732C">
              <w:rPr>
                <w:rFonts w:ascii="Arial" w:hAnsi="Arial" w:cs="Arial"/>
                <w:sz w:val="20"/>
                <w:szCs w:val="20"/>
                <w:bdr w:val="none" w:sz="0" w:space="0" w:color="auto" w:frame="1"/>
              </w:rPr>
              <w:t>,Tufanbeyli, Aladağ, Feke, Saimbeyli</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Afyonkarahisar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A72390" w:rsidP="00A72390">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 xml:space="preserve">Kızılören, İhsaniye, Bayat, </w:t>
            </w:r>
            <w:r w:rsidR="00CF6CB9" w:rsidRPr="00E4732C">
              <w:rPr>
                <w:rFonts w:ascii="Arial" w:hAnsi="Arial" w:cs="Arial"/>
                <w:sz w:val="20"/>
                <w:szCs w:val="20"/>
                <w:bdr w:val="none" w:sz="0" w:space="0" w:color="auto" w:frame="1"/>
              </w:rPr>
              <w:t>Sinanpaşa</w:t>
            </w:r>
            <w:r w:rsidR="00BC6D4A" w:rsidRPr="00E4732C">
              <w:rPr>
                <w:rFonts w:ascii="Arial" w:hAnsi="Arial" w:cs="Arial"/>
                <w:sz w:val="20"/>
                <w:szCs w:val="20"/>
                <w:bdr w:val="none" w:sz="0" w:space="0" w:color="auto" w:frame="1"/>
              </w:rPr>
              <w:t>,Hocalar,Çobanlar,</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Aksaray</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A72390"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 xml:space="preserve">Ortaköy, Sarıyahşi, Eskil, </w:t>
            </w:r>
            <w:r w:rsidR="00CF6CB9" w:rsidRPr="00E4732C">
              <w:rPr>
                <w:rFonts w:ascii="Arial" w:hAnsi="Arial" w:cs="Arial"/>
                <w:sz w:val="20"/>
                <w:szCs w:val="20"/>
                <w:bdr w:val="none" w:sz="0" w:space="0" w:color="auto" w:frame="1"/>
              </w:rPr>
              <w:t>Ağaçören</w:t>
            </w:r>
            <w:r w:rsidR="00BC6D4A" w:rsidRPr="00E4732C">
              <w:rPr>
                <w:rFonts w:ascii="Arial" w:hAnsi="Arial" w:cs="Arial"/>
                <w:sz w:val="20"/>
                <w:szCs w:val="20"/>
                <w:bdr w:val="none" w:sz="0" w:space="0" w:color="auto" w:frame="1"/>
              </w:rPr>
              <w:t>,Güzelyurt,Gülağaç,</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Amasya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Göynücek</w:t>
            </w:r>
            <w:r w:rsidR="00BC6D4A" w:rsidRPr="00E4732C">
              <w:rPr>
                <w:rFonts w:ascii="Arial" w:hAnsi="Arial" w:cs="Arial"/>
                <w:sz w:val="20"/>
                <w:szCs w:val="20"/>
                <w:bdr w:val="none" w:sz="0" w:space="0" w:color="auto" w:frame="1"/>
              </w:rPr>
              <w:t>,Hamamözü</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Antalya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Gündoğmuş</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C6D4A" w:rsidP="00F64CF1">
            <w:pPr>
              <w:spacing w:after="0" w:line="240" w:lineRule="auto"/>
              <w:jc w:val="both"/>
              <w:rPr>
                <w:rFonts w:ascii="Arial" w:hAnsi="Arial" w:cs="Arial"/>
                <w:sz w:val="20"/>
                <w:szCs w:val="20"/>
              </w:rPr>
            </w:pPr>
            <w:r w:rsidRPr="00E4732C">
              <w:rPr>
                <w:rFonts w:ascii="Arial" w:hAnsi="Arial" w:cs="Arial"/>
                <w:sz w:val="20"/>
                <w:szCs w:val="20"/>
              </w:rPr>
              <w:t>Aydın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Kuyucak</w:t>
            </w:r>
            <w:r w:rsidR="00A72390" w:rsidRPr="00E4732C">
              <w:rPr>
                <w:rFonts w:ascii="Arial" w:hAnsi="Arial" w:cs="Arial"/>
                <w:sz w:val="20"/>
                <w:szCs w:val="20"/>
                <w:bdr w:val="none" w:sz="0" w:space="0" w:color="auto" w:frame="1"/>
              </w:rPr>
              <w:t>, Germencik, Karacasu, Sultanhisar, Köşk, Buharkent, Yenipazar, İncirliova, Bozdoğan, Koçarlı, Karpuzlu</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A33E6E" w:rsidP="00F64CF1">
            <w:pPr>
              <w:spacing w:after="0" w:line="240" w:lineRule="auto"/>
              <w:jc w:val="both"/>
              <w:rPr>
                <w:rFonts w:ascii="Arial" w:hAnsi="Arial" w:cs="Arial"/>
                <w:sz w:val="20"/>
                <w:szCs w:val="20"/>
              </w:rPr>
            </w:pPr>
            <w:r w:rsidRPr="00E4732C">
              <w:rPr>
                <w:rFonts w:ascii="Arial" w:hAnsi="Arial" w:cs="Arial"/>
                <w:sz w:val="20"/>
                <w:szCs w:val="20"/>
              </w:rPr>
              <w:t>Balıkesir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Savaştepe</w:t>
            </w:r>
            <w:r w:rsidR="00A33E6E" w:rsidRPr="00E4732C">
              <w:rPr>
                <w:rFonts w:ascii="Arial" w:hAnsi="Arial" w:cs="Arial"/>
                <w:sz w:val="20"/>
                <w:szCs w:val="20"/>
                <w:bdr w:val="none" w:sz="0" w:space="0" w:color="auto" w:frame="1"/>
              </w:rPr>
              <w:t xml:space="preserve">, Dursunbey, Sındırgı, Havran, Kepsut, İvrindi, Balya, </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Bartın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Kurucaşile</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A33E6E" w:rsidP="00F64CF1">
            <w:pPr>
              <w:spacing w:after="0" w:line="240" w:lineRule="auto"/>
              <w:jc w:val="both"/>
              <w:rPr>
                <w:rFonts w:ascii="Arial" w:hAnsi="Arial" w:cs="Arial"/>
                <w:sz w:val="20"/>
                <w:szCs w:val="20"/>
              </w:rPr>
            </w:pPr>
            <w:r w:rsidRPr="00E4732C">
              <w:rPr>
                <w:rFonts w:ascii="Arial" w:hAnsi="Arial" w:cs="Arial"/>
                <w:sz w:val="20"/>
                <w:szCs w:val="20"/>
              </w:rPr>
              <w:t>Bilecik</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Gölpazarı</w:t>
            </w:r>
            <w:r w:rsidR="00A33E6E" w:rsidRPr="00E4732C">
              <w:rPr>
                <w:rFonts w:ascii="Arial" w:hAnsi="Arial" w:cs="Arial"/>
                <w:sz w:val="20"/>
                <w:szCs w:val="20"/>
                <w:bdr w:val="none" w:sz="0" w:space="0" w:color="auto" w:frame="1"/>
              </w:rPr>
              <w:t>, İnhisar, Yenipazar</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A33E6E" w:rsidP="00F64CF1">
            <w:pPr>
              <w:spacing w:after="0" w:line="240" w:lineRule="auto"/>
              <w:jc w:val="both"/>
              <w:rPr>
                <w:rFonts w:ascii="Arial" w:hAnsi="Arial" w:cs="Arial"/>
                <w:sz w:val="20"/>
                <w:szCs w:val="20"/>
              </w:rPr>
            </w:pPr>
            <w:r w:rsidRPr="00E4732C">
              <w:rPr>
                <w:rFonts w:ascii="Arial" w:hAnsi="Arial" w:cs="Arial"/>
                <w:sz w:val="20"/>
                <w:szCs w:val="20"/>
              </w:rPr>
              <w:t>Bolu</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Yeniçağa</w:t>
            </w:r>
            <w:r w:rsidR="00A33E6E" w:rsidRPr="00E4732C">
              <w:rPr>
                <w:rFonts w:ascii="Arial" w:hAnsi="Arial" w:cs="Arial"/>
                <w:sz w:val="20"/>
                <w:szCs w:val="20"/>
                <w:bdr w:val="none" w:sz="0" w:space="0" w:color="auto" w:frame="1"/>
              </w:rPr>
              <w:t>, Mudurnu, Göynük,Seben,Kıbrısçık, Dörtdivan</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A33E6E" w:rsidP="00F64CF1">
            <w:pPr>
              <w:spacing w:after="0" w:line="240" w:lineRule="auto"/>
              <w:jc w:val="both"/>
              <w:rPr>
                <w:rFonts w:ascii="Arial" w:hAnsi="Arial" w:cs="Arial"/>
                <w:sz w:val="20"/>
                <w:szCs w:val="20"/>
              </w:rPr>
            </w:pPr>
            <w:r w:rsidRPr="00E4732C">
              <w:rPr>
                <w:rFonts w:ascii="Arial" w:hAnsi="Arial" w:cs="Arial"/>
                <w:sz w:val="20"/>
                <w:szCs w:val="20"/>
              </w:rPr>
              <w:t>Burdur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Kemer</w:t>
            </w:r>
            <w:r w:rsidR="00A33E6E" w:rsidRPr="00E4732C">
              <w:rPr>
                <w:rFonts w:ascii="Arial" w:hAnsi="Arial" w:cs="Arial"/>
                <w:sz w:val="20"/>
                <w:szCs w:val="20"/>
                <w:bdr w:val="none" w:sz="0" w:space="0" w:color="auto" w:frame="1"/>
              </w:rPr>
              <w:t>, Ağlasun,Cavdır,Çeltikçi,Yeşilova, Altınyayla</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A33E6E" w:rsidP="00F64CF1">
            <w:pPr>
              <w:spacing w:after="0" w:line="240" w:lineRule="auto"/>
              <w:jc w:val="both"/>
              <w:rPr>
                <w:rFonts w:ascii="Arial" w:hAnsi="Arial" w:cs="Arial"/>
                <w:sz w:val="20"/>
                <w:szCs w:val="20"/>
              </w:rPr>
            </w:pPr>
            <w:r w:rsidRPr="00E4732C">
              <w:rPr>
                <w:rFonts w:ascii="Arial" w:hAnsi="Arial" w:cs="Arial"/>
                <w:sz w:val="20"/>
                <w:szCs w:val="20"/>
              </w:rPr>
              <w:t>Bursa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Harmancık</w:t>
            </w:r>
            <w:r w:rsidR="00A33E6E" w:rsidRPr="00E4732C">
              <w:rPr>
                <w:rFonts w:ascii="Arial" w:hAnsi="Arial" w:cs="Arial"/>
                <w:sz w:val="20"/>
                <w:szCs w:val="20"/>
                <w:bdr w:val="none" w:sz="0" w:space="0" w:color="auto" w:frame="1"/>
              </w:rPr>
              <w:t>, Keles, Büyükorhan</w:t>
            </w:r>
          </w:p>
        </w:tc>
      </w:tr>
      <w:tr w:rsidR="00E4732C" w:rsidRPr="00E4732C" w:rsidTr="00885680">
        <w:trPr>
          <w:trHeight w:val="330"/>
        </w:trPr>
        <w:tc>
          <w:tcPr>
            <w:tcW w:w="1266"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Çanakkale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Bayramiç</w:t>
            </w:r>
            <w:r w:rsidR="00A33E6E" w:rsidRPr="00E4732C">
              <w:rPr>
                <w:rFonts w:ascii="Arial" w:hAnsi="Arial" w:cs="Arial"/>
                <w:sz w:val="20"/>
                <w:szCs w:val="20"/>
                <w:bdr w:val="none" w:sz="0" w:space="0" w:color="auto" w:frame="1"/>
              </w:rPr>
              <w:t>, Yenice</w:t>
            </w:r>
          </w:p>
        </w:tc>
      </w:tr>
      <w:tr w:rsidR="00E4732C" w:rsidRPr="00E4732C" w:rsidTr="00885680">
        <w:trPr>
          <w:gridAfter w:val="1"/>
          <w:wAfter w:w="7513" w:type="dxa"/>
          <w:trHeight w:val="458"/>
        </w:trPr>
        <w:tc>
          <w:tcPr>
            <w:tcW w:w="1266" w:type="dxa"/>
            <w:vMerge/>
            <w:tcBorders>
              <w:top w:val="nil"/>
              <w:left w:val="single" w:sz="8" w:space="0" w:color="000000"/>
              <w:bottom w:val="single" w:sz="8" w:space="0" w:color="000000"/>
              <w:right w:val="single" w:sz="8" w:space="0" w:color="000000"/>
            </w:tcBorders>
            <w:shd w:val="clear" w:color="auto" w:fill="auto"/>
            <w:vAlign w:val="bottom"/>
            <w:hideMark/>
          </w:tcPr>
          <w:p w:rsidR="00E5324B" w:rsidRPr="00E4732C" w:rsidRDefault="00E5324B" w:rsidP="00F64CF1">
            <w:pPr>
              <w:spacing w:after="0" w:line="240" w:lineRule="auto"/>
              <w:jc w:val="both"/>
              <w:rPr>
                <w:rFonts w:ascii="Arial" w:hAnsi="Arial" w:cs="Arial"/>
                <w:bCs/>
                <w:sz w:val="20"/>
                <w:szCs w:val="20"/>
              </w:rPr>
            </w:pP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Çankırı</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E5324B">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Bayramören</w:t>
            </w:r>
            <w:r w:rsidR="00E5324B" w:rsidRPr="00E4732C">
              <w:rPr>
                <w:rFonts w:ascii="Arial" w:hAnsi="Arial" w:cs="Arial"/>
                <w:sz w:val="20"/>
                <w:szCs w:val="20"/>
                <w:bdr w:val="none" w:sz="0" w:space="0" w:color="auto" w:frame="1"/>
              </w:rPr>
              <w:t xml:space="preserve">, </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Çorum</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Mecitözü</w:t>
            </w:r>
            <w:r w:rsidR="00E5324B" w:rsidRPr="00E4732C">
              <w:rPr>
                <w:rFonts w:ascii="Arial" w:hAnsi="Arial" w:cs="Arial"/>
                <w:sz w:val="20"/>
                <w:szCs w:val="20"/>
                <w:bdr w:val="none" w:sz="0" w:space="0" w:color="auto" w:frame="1"/>
              </w:rPr>
              <w:t xml:space="preserve">, Bayat,Laçin, </w:t>
            </w:r>
            <w:r w:rsidR="00E5324B" w:rsidRPr="00E4732C">
              <w:rPr>
                <w:rFonts w:ascii="Arial" w:hAnsi="Arial" w:cs="Arial"/>
                <w:sz w:val="20"/>
                <w:szCs w:val="20"/>
                <w:bdr w:val="none" w:sz="0" w:space="0" w:color="auto" w:frame="1"/>
              </w:rPr>
              <w:t>, Ortaköy,Boğazkale, Uğurludağ</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5324B" w:rsidP="00F64CF1">
            <w:pPr>
              <w:spacing w:after="0" w:line="240" w:lineRule="auto"/>
              <w:jc w:val="both"/>
              <w:rPr>
                <w:rFonts w:ascii="Arial" w:hAnsi="Arial" w:cs="Arial"/>
                <w:sz w:val="20"/>
                <w:szCs w:val="20"/>
              </w:rPr>
            </w:pPr>
            <w:r w:rsidRPr="00E4732C">
              <w:rPr>
                <w:rFonts w:ascii="Arial" w:hAnsi="Arial" w:cs="Arial"/>
                <w:sz w:val="20"/>
                <w:szCs w:val="20"/>
              </w:rPr>
              <w:t>Denizli</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Babadağ</w:t>
            </w:r>
            <w:r w:rsidR="00E5324B" w:rsidRPr="00E4732C">
              <w:rPr>
                <w:rFonts w:ascii="Arial" w:hAnsi="Arial" w:cs="Arial"/>
                <w:sz w:val="20"/>
                <w:szCs w:val="20"/>
                <w:bdr w:val="none" w:sz="0" w:space="0" w:color="auto" w:frame="1"/>
              </w:rPr>
              <w:t>, Kale, Beyağaç,Baklan,Güney, Çameli</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5324B" w:rsidP="00F64CF1">
            <w:pPr>
              <w:spacing w:after="0" w:line="240" w:lineRule="auto"/>
              <w:jc w:val="both"/>
              <w:rPr>
                <w:rFonts w:ascii="Arial" w:hAnsi="Arial" w:cs="Arial"/>
                <w:sz w:val="20"/>
                <w:szCs w:val="20"/>
              </w:rPr>
            </w:pPr>
            <w:r w:rsidRPr="00E4732C">
              <w:rPr>
                <w:rFonts w:ascii="Arial" w:hAnsi="Arial" w:cs="Arial"/>
                <w:sz w:val="20"/>
                <w:szCs w:val="20"/>
              </w:rPr>
              <w:t>Düzce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Çilimli</w:t>
            </w:r>
            <w:r w:rsidR="00E5324B" w:rsidRPr="00E4732C">
              <w:rPr>
                <w:rFonts w:ascii="Arial" w:hAnsi="Arial" w:cs="Arial"/>
                <w:sz w:val="20"/>
                <w:szCs w:val="20"/>
                <w:bdr w:val="none" w:sz="0" w:space="0" w:color="auto" w:frame="1"/>
              </w:rPr>
              <w:t>, Kaynaşlı, Cumayeri, Gölyaka, Yığılca</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5324B" w:rsidP="00F64CF1">
            <w:pPr>
              <w:spacing w:after="0" w:line="240" w:lineRule="auto"/>
              <w:jc w:val="both"/>
              <w:rPr>
                <w:rFonts w:ascii="Arial" w:hAnsi="Arial" w:cs="Arial"/>
                <w:sz w:val="20"/>
                <w:szCs w:val="20"/>
              </w:rPr>
            </w:pPr>
            <w:r w:rsidRPr="00E4732C">
              <w:rPr>
                <w:rFonts w:ascii="Arial" w:hAnsi="Arial" w:cs="Arial"/>
                <w:sz w:val="20"/>
                <w:szCs w:val="20"/>
              </w:rPr>
              <w:t>Edirne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Enez</w:t>
            </w:r>
            <w:r w:rsidR="00E5324B" w:rsidRPr="00E4732C">
              <w:rPr>
                <w:rFonts w:ascii="Arial" w:hAnsi="Arial" w:cs="Arial"/>
                <w:sz w:val="20"/>
                <w:szCs w:val="20"/>
                <w:bdr w:val="none" w:sz="0" w:space="0" w:color="auto" w:frame="1"/>
              </w:rPr>
              <w:t>, İpsala, Meriç, Lalapaşa</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23704D" w:rsidP="00F64CF1">
            <w:pPr>
              <w:spacing w:after="0" w:line="240" w:lineRule="auto"/>
              <w:jc w:val="both"/>
              <w:rPr>
                <w:rFonts w:ascii="Arial" w:hAnsi="Arial" w:cs="Arial"/>
                <w:sz w:val="20"/>
                <w:szCs w:val="20"/>
              </w:rPr>
            </w:pPr>
            <w:r w:rsidRPr="00E4732C">
              <w:rPr>
                <w:rFonts w:ascii="Arial" w:hAnsi="Arial" w:cs="Arial"/>
                <w:sz w:val="20"/>
                <w:szCs w:val="20"/>
              </w:rPr>
              <w:lastRenderedPageBreak/>
              <w:t>Elazığ</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Kovancılar</w:t>
            </w:r>
            <w:r w:rsidR="0023704D" w:rsidRPr="00E4732C">
              <w:rPr>
                <w:rFonts w:ascii="Arial" w:hAnsi="Arial" w:cs="Arial"/>
                <w:sz w:val="20"/>
                <w:szCs w:val="20"/>
                <w:bdr w:val="none" w:sz="0" w:space="0" w:color="auto" w:frame="1"/>
              </w:rPr>
              <w:t>, Karakoçan, Alacakaya,Maden, Palu, Baskil, Sivrice,Arıcak</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23704D" w:rsidP="00F64CF1">
            <w:pPr>
              <w:spacing w:after="0" w:line="240" w:lineRule="auto"/>
              <w:jc w:val="both"/>
              <w:rPr>
                <w:rFonts w:ascii="Arial" w:hAnsi="Arial" w:cs="Arial"/>
                <w:sz w:val="20"/>
                <w:szCs w:val="20"/>
              </w:rPr>
            </w:pPr>
            <w:r w:rsidRPr="00E4732C">
              <w:rPr>
                <w:rFonts w:ascii="Arial" w:hAnsi="Arial" w:cs="Arial"/>
                <w:sz w:val="20"/>
                <w:szCs w:val="20"/>
              </w:rPr>
              <w:t>Erzincan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Otlukbeli</w:t>
            </w:r>
            <w:r w:rsidR="0023704D" w:rsidRPr="00E4732C">
              <w:rPr>
                <w:rFonts w:ascii="Arial" w:hAnsi="Arial" w:cs="Arial"/>
                <w:sz w:val="20"/>
                <w:szCs w:val="20"/>
                <w:bdr w:val="none" w:sz="0" w:space="0" w:color="auto" w:frame="1"/>
              </w:rPr>
              <w:t xml:space="preserve">, Tercan, Çayırlı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23704D" w:rsidP="00F64CF1">
            <w:pPr>
              <w:spacing w:after="0" w:line="240" w:lineRule="auto"/>
              <w:jc w:val="both"/>
              <w:rPr>
                <w:rFonts w:ascii="Arial" w:hAnsi="Arial" w:cs="Arial"/>
                <w:sz w:val="20"/>
                <w:szCs w:val="20"/>
              </w:rPr>
            </w:pPr>
            <w:r w:rsidRPr="00E4732C">
              <w:rPr>
                <w:rFonts w:ascii="Arial" w:hAnsi="Arial" w:cs="Arial"/>
                <w:sz w:val="20"/>
                <w:szCs w:val="20"/>
              </w:rPr>
              <w:t>Erzurum</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Horasan</w:t>
            </w:r>
            <w:r w:rsidR="0023704D" w:rsidRPr="00E4732C">
              <w:rPr>
                <w:rFonts w:ascii="Arial" w:hAnsi="Arial" w:cs="Arial"/>
                <w:sz w:val="20"/>
                <w:szCs w:val="20"/>
                <w:bdr w:val="none" w:sz="0" w:space="0" w:color="auto" w:frame="1"/>
              </w:rPr>
              <w:t xml:space="preserve">, Hınıs, Şenkaya, Çat, Köprüköy,Tekman, Karaçoban,Karayazı </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23704D" w:rsidP="00F64CF1">
            <w:pPr>
              <w:spacing w:after="0" w:line="240" w:lineRule="auto"/>
              <w:jc w:val="both"/>
              <w:rPr>
                <w:rFonts w:ascii="Arial" w:hAnsi="Arial" w:cs="Arial"/>
                <w:sz w:val="20"/>
                <w:szCs w:val="20"/>
              </w:rPr>
            </w:pPr>
            <w:r w:rsidRPr="00E4732C">
              <w:rPr>
                <w:rFonts w:ascii="Arial" w:hAnsi="Arial" w:cs="Arial"/>
                <w:sz w:val="20"/>
                <w:szCs w:val="20"/>
              </w:rPr>
              <w:t>Eskişehir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Alpu</w:t>
            </w:r>
            <w:r w:rsidR="0023704D" w:rsidRPr="00E4732C">
              <w:rPr>
                <w:rFonts w:ascii="Arial" w:hAnsi="Arial" w:cs="Arial"/>
                <w:sz w:val="20"/>
                <w:szCs w:val="20"/>
                <w:bdr w:val="none" w:sz="0" w:space="0" w:color="auto" w:frame="1"/>
              </w:rPr>
              <w:t>, Günyüzü, Han</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Gaziantep</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Nizip</w:t>
            </w:r>
            <w:r w:rsidR="0023704D" w:rsidRPr="00E4732C">
              <w:rPr>
                <w:rFonts w:ascii="Arial" w:hAnsi="Arial" w:cs="Arial"/>
                <w:sz w:val="20"/>
                <w:szCs w:val="20"/>
                <w:bdr w:val="none" w:sz="0" w:space="0" w:color="auto" w:frame="1"/>
              </w:rPr>
              <w:t xml:space="preserve">, İslahiye, Oğuzeli, Nurdağı, Karkamış, Araban, Yavuzeli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23704D" w:rsidP="00F64CF1">
            <w:pPr>
              <w:spacing w:after="0" w:line="240" w:lineRule="auto"/>
              <w:jc w:val="both"/>
              <w:rPr>
                <w:rFonts w:ascii="Arial" w:hAnsi="Arial" w:cs="Arial"/>
                <w:sz w:val="20"/>
                <w:szCs w:val="20"/>
              </w:rPr>
            </w:pPr>
            <w:r w:rsidRPr="00E4732C">
              <w:rPr>
                <w:rFonts w:ascii="Arial" w:hAnsi="Arial" w:cs="Arial"/>
                <w:sz w:val="20"/>
                <w:szCs w:val="20"/>
              </w:rPr>
              <w:t>Hatay</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Arsuz</w:t>
            </w:r>
            <w:r w:rsidR="0023704D" w:rsidRPr="00E4732C">
              <w:rPr>
                <w:rFonts w:ascii="Arial" w:hAnsi="Arial" w:cs="Arial"/>
                <w:sz w:val="20"/>
                <w:szCs w:val="20"/>
                <w:bdr w:val="none" w:sz="0" w:space="0" w:color="auto" w:frame="1"/>
              </w:rPr>
              <w:t xml:space="preserve">, Reyhanlı, Yayladağı, Hassa, Kumlu, Altınözü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4D655D">
            <w:pPr>
              <w:spacing w:after="0" w:line="240" w:lineRule="auto"/>
              <w:jc w:val="both"/>
              <w:rPr>
                <w:rFonts w:ascii="Arial" w:hAnsi="Arial" w:cs="Arial"/>
                <w:sz w:val="20"/>
                <w:szCs w:val="20"/>
              </w:rPr>
            </w:pPr>
            <w:r w:rsidRPr="00E4732C">
              <w:rPr>
                <w:rFonts w:ascii="Arial" w:hAnsi="Arial" w:cs="Arial"/>
                <w:sz w:val="20"/>
                <w:szCs w:val="20"/>
              </w:rPr>
              <w:t xml:space="preserve">İsparta </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Şarkikaraağaç</w:t>
            </w:r>
            <w:r w:rsidR="004D655D" w:rsidRPr="00E4732C">
              <w:rPr>
                <w:rFonts w:ascii="Arial" w:hAnsi="Arial" w:cs="Arial"/>
                <w:sz w:val="20"/>
                <w:szCs w:val="20"/>
                <w:bdr w:val="none" w:sz="0" w:space="0" w:color="auto" w:frame="1"/>
              </w:rPr>
              <w:t>, Aksu, Gelendost, Sütçüler</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F64CF1">
            <w:pPr>
              <w:spacing w:after="0" w:line="240" w:lineRule="auto"/>
              <w:jc w:val="both"/>
              <w:rPr>
                <w:rFonts w:ascii="Arial" w:hAnsi="Arial" w:cs="Arial"/>
                <w:sz w:val="20"/>
                <w:szCs w:val="20"/>
              </w:rPr>
            </w:pPr>
            <w:r w:rsidRPr="00E4732C">
              <w:rPr>
                <w:rFonts w:ascii="Arial" w:hAnsi="Arial" w:cs="Arial"/>
                <w:sz w:val="20"/>
                <w:szCs w:val="20"/>
              </w:rPr>
              <w:t>İzmir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Bayındır</w:t>
            </w:r>
            <w:r w:rsidR="004D655D" w:rsidRPr="00E4732C">
              <w:rPr>
                <w:rFonts w:ascii="Arial" w:hAnsi="Arial" w:cs="Arial"/>
                <w:sz w:val="20"/>
                <w:szCs w:val="20"/>
                <w:bdr w:val="none" w:sz="0" w:space="0" w:color="auto" w:frame="1"/>
              </w:rPr>
              <w:t>, Beydağ, Kiraz</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F64CF1">
            <w:pPr>
              <w:spacing w:after="0" w:line="240" w:lineRule="auto"/>
              <w:jc w:val="both"/>
              <w:rPr>
                <w:rFonts w:ascii="Arial" w:hAnsi="Arial" w:cs="Arial"/>
                <w:sz w:val="20"/>
                <w:szCs w:val="20"/>
              </w:rPr>
            </w:pPr>
            <w:r w:rsidRPr="00E4732C">
              <w:rPr>
                <w:rFonts w:ascii="Arial" w:hAnsi="Arial" w:cs="Arial"/>
                <w:sz w:val="20"/>
                <w:szCs w:val="20"/>
              </w:rPr>
              <w:t>Karabük</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Eskipazar</w:t>
            </w:r>
            <w:r w:rsidR="004D655D" w:rsidRPr="00E4732C">
              <w:rPr>
                <w:rFonts w:ascii="Arial" w:hAnsi="Arial" w:cs="Arial"/>
                <w:sz w:val="20"/>
                <w:szCs w:val="20"/>
                <w:bdr w:val="none" w:sz="0" w:space="0" w:color="auto" w:frame="1"/>
              </w:rPr>
              <w:t>, Yenice, Ovacık, Eflanı</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F64CF1">
            <w:pPr>
              <w:spacing w:after="0" w:line="240" w:lineRule="auto"/>
              <w:jc w:val="both"/>
              <w:rPr>
                <w:rFonts w:ascii="Arial" w:hAnsi="Arial" w:cs="Arial"/>
                <w:sz w:val="20"/>
                <w:szCs w:val="20"/>
              </w:rPr>
            </w:pPr>
            <w:r w:rsidRPr="00E4732C">
              <w:rPr>
                <w:rFonts w:ascii="Arial" w:hAnsi="Arial" w:cs="Arial"/>
                <w:sz w:val="20"/>
                <w:szCs w:val="20"/>
              </w:rPr>
              <w:t>Karaman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Kazımkarabekir</w:t>
            </w:r>
            <w:r w:rsidR="004D655D" w:rsidRPr="00E4732C">
              <w:rPr>
                <w:rFonts w:ascii="Arial" w:hAnsi="Arial" w:cs="Arial"/>
                <w:sz w:val="20"/>
                <w:szCs w:val="20"/>
                <w:bdr w:val="none" w:sz="0" w:space="0" w:color="auto" w:frame="1"/>
              </w:rPr>
              <w:t>, Başyayla, Sarıveliler, Ayrancı</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F64CF1">
            <w:pPr>
              <w:spacing w:after="0" w:line="240" w:lineRule="auto"/>
              <w:jc w:val="both"/>
              <w:rPr>
                <w:rFonts w:ascii="Arial" w:hAnsi="Arial" w:cs="Arial"/>
                <w:sz w:val="20"/>
                <w:szCs w:val="20"/>
              </w:rPr>
            </w:pPr>
            <w:r w:rsidRPr="00E4732C">
              <w:rPr>
                <w:rFonts w:ascii="Arial" w:hAnsi="Arial" w:cs="Arial"/>
                <w:sz w:val="20"/>
                <w:szCs w:val="20"/>
              </w:rPr>
              <w:t>Kastamonu</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Daday</w:t>
            </w:r>
            <w:r w:rsidR="004D655D" w:rsidRPr="00E4732C">
              <w:rPr>
                <w:rFonts w:ascii="Arial" w:hAnsi="Arial" w:cs="Arial"/>
                <w:sz w:val="20"/>
                <w:szCs w:val="20"/>
                <w:bdr w:val="none" w:sz="0" w:space="0" w:color="auto" w:frame="1"/>
              </w:rPr>
              <w:t>, Cide, İhsangazi, Hanönü, Azdavay, Pınarbaşı, Şenpazar, Doğanyurt</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4D655D" w:rsidP="00F64CF1">
            <w:pPr>
              <w:spacing w:after="0" w:line="240" w:lineRule="auto"/>
              <w:jc w:val="both"/>
              <w:rPr>
                <w:rFonts w:ascii="Arial" w:hAnsi="Arial" w:cs="Arial"/>
                <w:sz w:val="20"/>
                <w:szCs w:val="20"/>
              </w:rPr>
            </w:pPr>
            <w:r w:rsidRPr="00E4732C">
              <w:rPr>
                <w:rFonts w:ascii="Arial" w:hAnsi="Arial" w:cs="Arial"/>
                <w:sz w:val="20"/>
                <w:szCs w:val="20"/>
              </w:rPr>
              <w:t>Kayseri</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İncesu</w:t>
            </w:r>
            <w:r w:rsidR="004D655D" w:rsidRPr="00E4732C">
              <w:rPr>
                <w:rFonts w:ascii="Arial" w:hAnsi="Arial" w:cs="Arial"/>
                <w:sz w:val="20"/>
                <w:szCs w:val="20"/>
                <w:bdr w:val="none" w:sz="0" w:space="0" w:color="auto" w:frame="1"/>
              </w:rPr>
              <w:t xml:space="preserve">, Felahiye, Yahyalı, Bünyan, Yeşilhisar, Pınarbaşı, Sarıoğlan, Tomarza, Sarız, Akkışla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58049F" w:rsidP="00F64CF1">
            <w:pPr>
              <w:spacing w:after="0" w:line="240" w:lineRule="auto"/>
              <w:jc w:val="both"/>
              <w:rPr>
                <w:rFonts w:ascii="Arial" w:hAnsi="Arial" w:cs="Arial"/>
                <w:sz w:val="20"/>
                <w:szCs w:val="20"/>
              </w:rPr>
            </w:pPr>
            <w:r w:rsidRPr="00E4732C">
              <w:rPr>
                <w:rFonts w:ascii="Arial" w:hAnsi="Arial" w:cs="Arial"/>
                <w:sz w:val="20"/>
                <w:szCs w:val="20"/>
              </w:rPr>
              <w:t>Kırıkkale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Karakeçili</w:t>
            </w:r>
            <w:r w:rsidR="0058049F" w:rsidRPr="00E4732C">
              <w:rPr>
                <w:rFonts w:ascii="Arial" w:hAnsi="Arial" w:cs="Arial"/>
                <w:sz w:val="20"/>
                <w:szCs w:val="20"/>
                <w:bdr w:val="none" w:sz="0" w:space="0" w:color="auto" w:frame="1"/>
              </w:rPr>
              <w:t xml:space="preserve">, Delice, Keskin, Sulakyurt, Balışeyh, Çelebi </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58049F" w:rsidP="00F64CF1">
            <w:pPr>
              <w:spacing w:after="0" w:line="240" w:lineRule="auto"/>
              <w:jc w:val="both"/>
              <w:rPr>
                <w:rFonts w:ascii="Arial" w:hAnsi="Arial" w:cs="Arial"/>
                <w:sz w:val="20"/>
                <w:szCs w:val="20"/>
              </w:rPr>
            </w:pPr>
            <w:r w:rsidRPr="00E4732C">
              <w:rPr>
                <w:rFonts w:ascii="Arial" w:hAnsi="Arial" w:cs="Arial"/>
                <w:sz w:val="20"/>
                <w:szCs w:val="20"/>
              </w:rPr>
              <w:t xml:space="preserve">Kırklareli </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58049F">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Demirköy</w:t>
            </w:r>
            <w:r w:rsidR="0058049F" w:rsidRPr="00E4732C">
              <w:rPr>
                <w:rFonts w:ascii="Arial" w:hAnsi="Arial" w:cs="Arial"/>
                <w:sz w:val="20"/>
                <w:szCs w:val="20"/>
                <w:bdr w:val="none" w:sz="0" w:space="0" w:color="auto" w:frame="1"/>
              </w:rPr>
              <w:t>, Pehlivanköy, Kofçaz</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58049F" w:rsidP="00F64CF1">
            <w:pPr>
              <w:spacing w:after="0" w:line="240" w:lineRule="auto"/>
              <w:jc w:val="both"/>
              <w:rPr>
                <w:rFonts w:ascii="Arial" w:hAnsi="Arial" w:cs="Arial"/>
                <w:sz w:val="20"/>
                <w:szCs w:val="20"/>
              </w:rPr>
            </w:pPr>
            <w:r w:rsidRPr="00E4732C">
              <w:rPr>
                <w:rFonts w:ascii="Arial" w:hAnsi="Arial" w:cs="Arial"/>
                <w:sz w:val="20"/>
                <w:szCs w:val="20"/>
              </w:rPr>
              <w:t>Kırşehir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Akpınar</w:t>
            </w:r>
            <w:r w:rsidR="0058049F" w:rsidRPr="00E4732C">
              <w:rPr>
                <w:rFonts w:ascii="Arial" w:hAnsi="Arial" w:cs="Arial"/>
                <w:sz w:val="20"/>
                <w:szCs w:val="20"/>
                <w:bdr w:val="none" w:sz="0" w:space="0" w:color="auto" w:frame="1"/>
              </w:rPr>
              <w:t>, Çiçekdağı, Boztepe, Akçakent,</w:t>
            </w:r>
          </w:p>
        </w:tc>
      </w:tr>
      <w:tr w:rsidR="00E4732C" w:rsidRPr="00E4732C" w:rsidTr="00885680">
        <w:trPr>
          <w:trHeight w:val="330"/>
        </w:trPr>
        <w:tc>
          <w:tcPr>
            <w:tcW w:w="1266"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Kilis</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Musabeyli</w:t>
            </w:r>
            <w:r w:rsidR="0058049F" w:rsidRPr="00E4732C">
              <w:rPr>
                <w:rFonts w:ascii="Arial" w:hAnsi="Arial" w:cs="Arial"/>
                <w:sz w:val="20"/>
                <w:szCs w:val="20"/>
                <w:bdr w:val="none" w:sz="0" w:space="0" w:color="auto" w:frame="1"/>
              </w:rPr>
              <w:t>, Polateli</w:t>
            </w:r>
          </w:p>
        </w:tc>
      </w:tr>
      <w:tr w:rsidR="00E4732C" w:rsidRPr="00E4732C" w:rsidTr="00885680">
        <w:trPr>
          <w:trHeight w:val="330"/>
        </w:trPr>
        <w:tc>
          <w:tcPr>
            <w:tcW w:w="1266" w:type="dxa"/>
            <w:vMerge/>
            <w:tcBorders>
              <w:top w:val="nil"/>
              <w:left w:val="single" w:sz="8" w:space="0" w:color="000000"/>
              <w:bottom w:val="single" w:sz="8" w:space="0" w:color="000000"/>
              <w:right w:val="single" w:sz="8" w:space="0" w:color="000000"/>
            </w:tcBorders>
            <w:shd w:val="clear" w:color="auto" w:fill="auto"/>
            <w:vAlign w:val="bottom"/>
            <w:hideMark/>
          </w:tcPr>
          <w:p w:rsidR="00CF6CB9" w:rsidRPr="00E4732C" w:rsidRDefault="00CF6CB9" w:rsidP="00F64CF1">
            <w:pPr>
              <w:spacing w:after="0" w:line="240" w:lineRule="auto"/>
              <w:jc w:val="both"/>
              <w:rPr>
                <w:rFonts w:ascii="Arial" w:hAnsi="Arial" w:cs="Arial"/>
                <w:bCs/>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58049F" w:rsidP="00F64CF1">
            <w:pPr>
              <w:spacing w:after="0" w:line="240" w:lineRule="auto"/>
              <w:jc w:val="both"/>
              <w:rPr>
                <w:rFonts w:ascii="Arial" w:hAnsi="Arial" w:cs="Arial"/>
                <w:sz w:val="20"/>
                <w:szCs w:val="20"/>
              </w:rPr>
            </w:pPr>
            <w:r w:rsidRPr="00E4732C">
              <w:rPr>
                <w:rFonts w:ascii="Arial" w:hAnsi="Arial" w:cs="Arial"/>
                <w:sz w:val="20"/>
                <w:szCs w:val="20"/>
              </w:rPr>
              <w:t>Konya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Kulu</w:t>
            </w:r>
            <w:r w:rsidR="0058049F" w:rsidRPr="00E4732C">
              <w:rPr>
                <w:rFonts w:ascii="Arial" w:hAnsi="Arial" w:cs="Arial"/>
                <w:sz w:val="20"/>
                <w:szCs w:val="20"/>
                <w:bdr w:val="none" w:sz="0" w:space="0" w:color="auto" w:frame="1"/>
              </w:rPr>
              <w:t>, Sarayönü, Hadim, Taşkent, Güneysınır, Hüyük,</w:t>
            </w:r>
            <w:r w:rsidR="00141BE9" w:rsidRPr="00E4732C">
              <w:rPr>
                <w:rFonts w:ascii="Arial" w:hAnsi="Arial" w:cs="Arial"/>
                <w:sz w:val="20"/>
                <w:szCs w:val="20"/>
                <w:bdr w:val="none" w:sz="0" w:space="0" w:color="auto" w:frame="1"/>
              </w:rPr>
              <w:t xml:space="preserve"> Ahırlı</w:t>
            </w:r>
            <w:r w:rsidR="00E4732C">
              <w:rPr>
                <w:rFonts w:ascii="Arial" w:hAnsi="Arial" w:cs="Arial"/>
                <w:sz w:val="20"/>
                <w:szCs w:val="20"/>
                <w:bdr w:val="none" w:sz="0" w:space="0" w:color="auto" w:frame="1"/>
              </w:rPr>
              <w:t xml:space="preserve">, Kadınhanı, Yunak,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58049F"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 xml:space="preserve"> Doğanhis</w:t>
            </w:r>
            <w:r w:rsidR="00141BE9" w:rsidRPr="00E4732C">
              <w:rPr>
                <w:rFonts w:ascii="Arial" w:hAnsi="Arial" w:cs="Arial"/>
                <w:sz w:val="20"/>
                <w:szCs w:val="20"/>
                <w:bdr w:val="none" w:sz="0" w:space="0" w:color="auto" w:frame="1"/>
              </w:rPr>
              <w:t>ar, Tuzlukçu, Yalıhüyük, Bozkır</w:t>
            </w:r>
            <w:r w:rsidR="00E4732C">
              <w:rPr>
                <w:rFonts w:ascii="Arial" w:hAnsi="Arial" w:cs="Arial"/>
                <w:sz w:val="20"/>
                <w:szCs w:val="20"/>
                <w:bdr w:val="none" w:sz="0" w:space="0" w:color="auto" w:frame="1"/>
              </w:rPr>
              <w:t>, Derebucak, Altınekin, Çeltik,Derbent</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hideMark/>
          </w:tcPr>
          <w:p w:rsidR="00CF6CB9" w:rsidRPr="00E4732C" w:rsidRDefault="00CF6CB9" w:rsidP="00F64CF1">
            <w:pPr>
              <w:spacing w:after="0" w:line="240" w:lineRule="auto"/>
              <w:jc w:val="both"/>
              <w:rPr>
                <w:rFonts w:ascii="Arial" w:hAnsi="Arial" w:cs="Arial"/>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141BE9" w:rsidRPr="00E4732C" w:rsidRDefault="00141BE9" w:rsidP="00141BE9">
            <w:pPr>
              <w:spacing w:after="0" w:line="240" w:lineRule="auto"/>
              <w:jc w:val="both"/>
              <w:rPr>
                <w:rFonts w:ascii="Arial" w:hAnsi="Arial" w:cs="Arial"/>
                <w:sz w:val="20"/>
                <w:szCs w:val="20"/>
                <w:bdr w:val="none" w:sz="0" w:space="0" w:color="auto" w:frame="1"/>
              </w:rPr>
            </w:pPr>
            <w:r w:rsidRPr="00E4732C">
              <w:rPr>
                <w:rFonts w:ascii="Arial" w:hAnsi="Arial" w:cs="Arial"/>
                <w:sz w:val="20"/>
                <w:szCs w:val="20"/>
                <w:bdr w:val="none" w:sz="0" w:space="0" w:color="auto" w:frame="1"/>
              </w:rPr>
              <w:t xml:space="preserve"> Halkapınar.  Emirgazi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141BE9" w:rsidP="00F64CF1">
            <w:pPr>
              <w:spacing w:after="0" w:line="240" w:lineRule="auto"/>
              <w:jc w:val="both"/>
              <w:rPr>
                <w:rFonts w:ascii="Arial" w:hAnsi="Arial" w:cs="Arial"/>
                <w:sz w:val="20"/>
                <w:szCs w:val="20"/>
              </w:rPr>
            </w:pPr>
            <w:r w:rsidRPr="00E4732C">
              <w:rPr>
                <w:rFonts w:ascii="Arial" w:hAnsi="Arial" w:cs="Arial"/>
                <w:sz w:val="20"/>
                <w:szCs w:val="20"/>
              </w:rPr>
              <w:t>Kütahya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Domaniç</w:t>
            </w:r>
            <w:r w:rsidR="00141BE9" w:rsidRPr="00E4732C">
              <w:rPr>
                <w:rFonts w:ascii="Arial" w:hAnsi="Arial" w:cs="Arial"/>
                <w:sz w:val="20"/>
                <w:szCs w:val="20"/>
                <w:bdr w:val="none" w:sz="0" w:space="0" w:color="auto" w:frame="1"/>
              </w:rPr>
              <w:t xml:space="preserve">, Hisarcık, Şaphane, Pazarlar, Dumlupınar,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141BE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Altıntaş, Çavdarhisar, Aslanapa</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141BE9" w:rsidP="00F64CF1">
            <w:pPr>
              <w:spacing w:after="0" w:line="240" w:lineRule="auto"/>
              <w:jc w:val="both"/>
              <w:rPr>
                <w:rFonts w:ascii="Arial" w:hAnsi="Arial" w:cs="Arial"/>
                <w:sz w:val="20"/>
                <w:szCs w:val="20"/>
              </w:rPr>
            </w:pPr>
            <w:r w:rsidRPr="00E4732C">
              <w:rPr>
                <w:rFonts w:ascii="Arial" w:hAnsi="Arial" w:cs="Arial"/>
                <w:sz w:val="20"/>
                <w:szCs w:val="20"/>
              </w:rPr>
              <w:t xml:space="preserve">Malatya </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Hekimhan</w:t>
            </w:r>
            <w:r w:rsidR="00141BE9" w:rsidRPr="00E4732C">
              <w:rPr>
                <w:rFonts w:ascii="Arial" w:hAnsi="Arial" w:cs="Arial"/>
                <w:sz w:val="20"/>
                <w:szCs w:val="20"/>
                <w:bdr w:val="none" w:sz="0" w:space="0" w:color="auto" w:frame="1"/>
              </w:rPr>
              <w:t>, Doğanşehir, Akçadağ, Yazıhan, Doğanyol,</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141BE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 xml:space="preserve">Arguvan, Kuluncak, Kale, Pütürge </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560D7" w:rsidP="00F64CF1">
            <w:pPr>
              <w:spacing w:after="0" w:line="240" w:lineRule="auto"/>
              <w:jc w:val="both"/>
              <w:rPr>
                <w:rFonts w:ascii="Arial" w:hAnsi="Arial" w:cs="Arial"/>
                <w:sz w:val="20"/>
                <w:szCs w:val="20"/>
              </w:rPr>
            </w:pPr>
            <w:r w:rsidRPr="00E4732C">
              <w:rPr>
                <w:rFonts w:ascii="Arial" w:hAnsi="Arial" w:cs="Arial"/>
                <w:sz w:val="20"/>
                <w:szCs w:val="20"/>
              </w:rPr>
              <w:t>Manisa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Saruhanlı</w:t>
            </w:r>
            <w:r w:rsidR="00B560D7" w:rsidRPr="00E4732C">
              <w:rPr>
                <w:rFonts w:ascii="Arial" w:hAnsi="Arial" w:cs="Arial"/>
                <w:sz w:val="20"/>
                <w:szCs w:val="20"/>
                <w:bdr w:val="none" w:sz="0" w:space="0" w:color="auto" w:frame="1"/>
              </w:rPr>
              <w:t>, Köprübaşı, Ahmetli, Gölmarmara, Selendi</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560D7" w:rsidP="00F64CF1">
            <w:pPr>
              <w:spacing w:after="0" w:line="240" w:lineRule="auto"/>
              <w:jc w:val="both"/>
              <w:rPr>
                <w:rFonts w:ascii="Arial" w:hAnsi="Arial" w:cs="Arial"/>
                <w:sz w:val="20"/>
                <w:szCs w:val="20"/>
              </w:rPr>
            </w:pPr>
            <w:r w:rsidRPr="00E4732C">
              <w:rPr>
                <w:rFonts w:ascii="Arial" w:hAnsi="Arial" w:cs="Arial"/>
                <w:sz w:val="20"/>
                <w:szCs w:val="20"/>
              </w:rPr>
              <w:t>Mersin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Aydıncık</w:t>
            </w:r>
            <w:r w:rsidR="00B560D7" w:rsidRPr="00E4732C">
              <w:rPr>
                <w:rFonts w:ascii="Arial" w:hAnsi="Arial" w:cs="Arial"/>
                <w:sz w:val="20"/>
                <w:szCs w:val="20"/>
                <w:bdr w:val="none" w:sz="0" w:space="0" w:color="auto" w:frame="1"/>
              </w:rPr>
              <w:t>, Mut, Gülnar</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Muğla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Seydikemer</w:t>
            </w:r>
          </w:p>
        </w:tc>
      </w:tr>
      <w:tr w:rsidR="00E4732C" w:rsidRPr="00E4732C" w:rsidTr="00885680">
        <w:trPr>
          <w:trHeight w:val="548"/>
        </w:trPr>
        <w:tc>
          <w:tcPr>
            <w:tcW w:w="1266"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Nevşehir</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Derinkuyu</w:t>
            </w:r>
            <w:r w:rsidR="00B560D7" w:rsidRPr="00E4732C">
              <w:rPr>
                <w:rFonts w:ascii="Arial" w:hAnsi="Arial" w:cs="Arial"/>
                <w:sz w:val="20"/>
                <w:szCs w:val="20"/>
                <w:bdr w:val="none" w:sz="0" w:space="0" w:color="auto" w:frame="1"/>
              </w:rPr>
              <w:t>, Acıgöl</w:t>
            </w:r>
          </w:p>
        </w:tc>
      </w:tr>
      <w:tr w:rsidR="00E4732C" w:rsidRPr="00E4732C" w:rsidTr="00885680">
        <w:trPr>
          <w:trHeight w:val="330"/>
        </w:trPr>
        <w:tc>
          <w:tcPr>
            <w:tcW w:w="1266" w:type="dxa"/>
            <w:vMerge/>
            <w:tcBorders>
              <w:top w:val="nil"/>
              <w:left w:val="single" w:sz="8" w:space="0" w:color="000000"/>
              <w:bottom w:val="single" w:sz="8" w:space="0" w:color="000000"/>
              <w:right w:val="single" w:sz="8" w:space="0" w:color="000000"/>
            </w:tcBorders>
            <w:shd w:val="clear" w:color="auto" w:fill="auto"/>
            <w:vAlign w:val="bottom"/>
            <w:hideMark/>
          </w:tcPr>
          <w:p w:rsidR="00CF6CB9" w:rsidRPr="00E4732C" w:rsidRDefault="00CF6CB9" w:rsidP="00F64CF1">
            <w:pPr>
              <w:spacing w:after="0" w:line="240" w:lineRule="auto"/>
              <w:jc w:val="both"/>
              <w:rPr>
                <w:rFonts w:ascii="Arial" w:hAnsi="Arial" w:cs="Arial"/>
                <w:bCs/>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p>
        </w:tc>
      </w:tr>
      <w:tr w:rsidR="00E4732C" w:rsidRPr="00E4732C" w:rsidTr="00885680">
        <w:trPr>
          <w:trHeight w:val="815"/>
        </w:trPr>
        <w:tc>
          <w:tcPr>
            <w:tcW w:w="1266"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lastRenderedPageBreak/>
              <w:t>Niğde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Altunhisar</w:t>
            </w:r>
            <w:r w:rsidR="00B560D7" w:rsidRPr="00E4732C">
              <w:rPr>
                <w:rFonts w:ascii="Arial" w:hAnsi="Arial" w:cs="Arial"/>
                <w:sz w:val="20"/>
                <w:szCs w:val="20"/>
                <w:bdr w:val="none" w:sz="0" w:space="0" w:color="auto" w:frame="1"/>
              </w:rPr>
              <w:t>, Çiftlik</w:t>
            </w:r>
          </w:p>
        </w:tc>
      </w:tr>
      <w:tr w:rsidR="00E4732C" w:rsidRPr="00E4732C" w:rsidTr="00885680">
        <w:trPr>
          <w:trHeight w:val="330"/>
        </w:trPr>
        <w:tc>
          <w:tcPr>
            <w:tcW w:w="1266" w:type="dxa"/>
            <w:vMerge/>
            <w:tcBorders>
              <w:top w:val="nil"/>
              <w:left w:val="single" w:sz="8" w:space="0" w:color="000000"/>
              <w:bottom w:val="single" w:sz="8" w:space="0" w:color="000000"/>
              <w:right w:val="single" w:sz="8" w:space="0" w:color="000000"/>
            </w:tcBorders>
            <w:shd w:val="clear" w:color="auto" w:fill="auto"/>
            <w:vAlign w:val="bottom"/>
            <w:hideMark/>
          </w:tcPr>
          <w:p w:rsidR="00CF6CB9" w:rsidRPr="00E4732C" w:rsidRDefault="00CF6CB9" w:rsidP="00F64CF1">
            <w:pPr>
              <w:spacing w:after="0" w:line="240" w:lineRule="auto"/>
              <w:jc w:val="both"/>
              <w:rPr>
                <w:rFonts w:ascii="Arial" w:hAnsi="Arial" w:cs="Arial"/>
                <w:bCs/>
                <w:sz w:val="20"/>
                <w:szCs w:val="20"/>
              </w:rPr>
            </w:pP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Osmaniye</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Sumbas</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560D7" w:rsidP="00F64CF1">
            <w:pPr>
              <w:spacing w:after="0" w:line="240" w:lineRule="auto"/>
              <w:jc w:val="both"/>
              <w:rPr>
                <w:rFonts w:ascii="Arial" w:hAnsi="Arial" w:cs="Arial"/>
                <w:sz w:val="20"/>
                <w:szCs w:val="20"/>
              </w:rPr>
            </w:pPr>
            <w:r w:rsidRPr="00E4732C">
              <w:rPr>
                <w:rFonts w:ascii="Arial" w:hAnsi="Arial" w:cs="Arial"/>
                <w:sz w:val="20"/>
                <w:szCs w:val="20"/>
              </w:rPr>
              <w:t xml:space="preserve">Rize </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Hemşin</w:t>
            </w:r>
            <w:r w:rsidR="00B560D7" w:rsidRPr="00E4732C">
              <w:rPr>
                <w:rFonts w:ascii="Arial" w:hAnsi="Arial" w:cs="Arial"/>
                <w:sz w:val="20"/>
                <w:szCs w:val="20"/>
                <w:bdr w:val="none" w:sz="0" w:space="0" w:color="auto" w:frame="1"/>
              </w:rPr>
              <w:t>, Güneysu, İyidere, Derepazarı, İkizdere, Kalkandere, Çamlıhemşin</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560D7" w:rsidP="00F64CF1">
            <w:pPr>
              <w:spacing w:after="0" w:line="240" w:lineRule="auto"/>
              <w:jc w:val="both"/>
              <w:rPr>
                <w:rFonts w:ascii="Arial" w:hAnsi="Arial" w:cs="Arial"/>
                <w:sz w:val="20"/>
                <w:szCs w:val="20"/>
              </w:rPr>
            </w:pPr>
            <w:r w:rsidRPr="00E4732C">
              <w:rPr>
                <w:rFonts w:ascii="Arial" w:hAnsi="Arial" w:cs="Arial"/>
                <w:sz w:val="20"/>
                <w:szCs w:val="20"/>
              </w:rPr>
              <w:t>Sakarya</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Kaynarca</w:t>
            </w:r>
            <w:r w:rsidR="00B560D7" w:rsidRPr="00E4732C">
              <w:rPr>
                <w:rFonts w:ascii="Arial" w:hAnsi="Arial" w:cs="Arial"/>
                <w:sz w:val="20"/>
                <w:szCs w:val="20"/>
                <w:bdr w:val="none" w:sz="0" w:space="0" w:color="auto" w:frame="1"/>
              </w:rPr>
              <w:t>, Ferizli, Karapürçek, Taraklı,</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B560D7" w:rsidP="00F64CF1">
            <w:pPr>
              <w:spacing w:after="0" w:line="240" w:lineRule="auto"/>
              <w:jc w:val="both"/>
              <w:rPr>
                <w:rFonts w:ascii="Arial" w:hAnsi="Arial" w:cs="Arial"/>
                <w:sz w:val="20"/>
                <w:szCs w:val="20"/>
              </w:rPr>
            </w:pPr>
            <w:r w:rsidRPr="00E4732C">
              <w:rPr>
                <w:rFonts w:ascii="Arial" w:hAnsi="Arial" w:cs="Arial"/>
                <w:sz w:val="20"/>
                <w:szCs w:val="20"/>
              </w:rPr>
              <w:t>Samsun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Kavak</w:t>
            </w:r>
            <w:r w:rsidR="00B560D7" w:rsidRPr="00E4732C">
              <w:rPr>
                <w:rFonts w:ascii="Arial" w:hAnsi="Arial" w:cs="Arial"/>
                <w:sz w:val="20"/>
                <w:szCs w:val="20"/>
                <w:bdr w:val="none" w:sz="0" w:space="0" w:color="auto" w:frame="1"/>
              </w:rPr>
              <w:t>, Havza, Alaçam, Yakakent, Vezirköprü, Salıpazarı, Asarcık, Ayvacık</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Sinop</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Dikmen</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4732C" w:rsidP="00F64CF1">
            <w:pPr>
              <w:spacing w:after="0" w:line="240" w:lineRule="auto"/>
              <w:jc w:val="both"/>
              <w:rPr>
                <w:rFonts w:ascii="Arial" w:hAnsi="Arial" w:cs="Arial"/>
                <w:sz w:val="20"/>
                <w:szCs w:val="20"/>
              </w:rPr>
            </w:pPr>
            <w:r w:rsidRPr="00E4732C">
              <w:rPr>
                <w:rFonts w:ascii="Arial" w:hAnsi="Arial" w:cs="Arial"/>
                <w:sz w:val="20"/>
                <w:szCs w:val="20"/>
              </w:rPr>
              <w:t>Sivas</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Akıncılar</w:t>
            </w:r>
            <w:r w:rsidR="00E4732C" w:rsidRPr="00E4732C">
              <w:rPr>
                <w:rFonts w:ascii="Arial" w:hAnsi="Arial" w:cs="Arial"/>
                <w:sz w:val="20"/>
                <w:szCs w:val="20"/>
                <w:bdr w:val="none" w:sz="0" w:space="0" w:color="auto" w:frame="1"/>
              </w:rPr>
              <w:t>, Zara, Gölova, Kangal, Ulaş, Altınyayla, Hafik, Yıldızeli, Koyulhisar</w:t>
            </w:r>
          </w:p>
        </w:tc>
      </w:tr>
      <w:tr w:rsidR="00E4732C" w:rsidRPr="00E4732C" w:rsidTr="00885680">
        <w:trPr>
          <w:trHeight w:val="345"/>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4732C" w:rsidP="00F64CF1">
            <w:pPr>
              <w:spacing w:after="0" w:line="240" w:lineRule="auto"/>
              <w:jc w:val="both"/>
              <w:rPr>
                <w:rFonts w:ascii="Arial" w:hAnsi="Arial" w:cs="Arial"/>
                <w:sz w:val="20"/>
                <w:szCs w:val="20"/>
              </w:rPr>
            </w:pPr>
            <w:r w:rsidRPr="00E4732C">
              <w:rPr>
                <w:rFonts w:ascii="Arial" w:hAnsi="Arial" w:cs="Arial"/>
                <w:sz w:val="20"/>
                <w:szCs w:val="20"/>
              </w:rPr>
              <w:t>Trabzon</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Çarşıbaşı</w:t>
            </w:r>
            <w:r w:rsidR="00E4732C" w:rsidRPr="00E4732C">
              <w:rPr>
                <w:rFonts w:ascii="Arial" w:hAnsi="Arial" w:cs="Arial"/>
                <w:sz w:val="20"/>
                <w:szCs w:val="20"/>
                <w:bdr w:val="none" w:sz="0" w:space="0" w:color="auto" w:frame="1"/>
              </w:rPr>
              <w:t>, Araklı, Şalpazarı, Dernekpazarı, Tonya, Köprübaşı, Hayrat, Düzköy</w:t>
            </w:r>
          </w:p>
        </w:tc>
      </w:tr>
      <w:tr w:rsidR="00E4732C" w:rsidRPr="00E4732C" w:rsidTr="00885680">
        <w:trPr>
          <w:trHeight w:val="42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E4732C" w:rsidP="00F64CF1">
            <w:pPr>
              <w:spacing w:after="0" w:line="240" w:lineRule="auto"/>
              <w:jc w:val="both"/>
              <w:rPr>
                <w:rFonts w:ascii="Arial" w:hAnsi="Arial" w:cs="Arial"/>
                <w:sz w:val="20"/>
                <w:szCs w:val="20"/>
              </w:rPr>
            </w:pPr>
            <w:r w:rsidRPr="00E4732C">
              <w:rPr>
                <w:rFonts w:ascii="Arial" w:hAnsi="Arial" w:cs="Arial"/>
                <w:sz w:val="20"/>
                <w:szCs w:val="20"/>
              </w:rPr>
              <w:t>Uşak</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Banaz</w:t>
            </w:r>
            <w:r w:rsidR="00E4732C" w:rsidRPr="00E4732C">
              <w:rPr>
                <w:rFonts w:ascii="Arial" w:hAnsi="Arial" w:cs="Arial"/>
                <w:sz w:val="20"/>
                <w:szCs w:val="20"/>
                <w:bdr w:val="none" w:sz="0" w:space="0" w:color="auto" w:frame="1"/>
              </w:rPr>
              <w:t>, Karahalli, Sivaslı</w:t>
            </w:r>
          </w:p>
        </w:tc>
      </w:tr>
      <w:tr w:rsidR="00E4732C" w:rsidRPr="00E4732C" w:rsidTr="00885680">
        <w:trPr>
          <w:trHeight w:val="330"/>
        </w:trPr>
        <w:tc>
          <w:tcPr>
            <w:tcW w:w="1266" w:type="dxa"/>
            <w:tcBorders>
              <w:top w:val="nil"/>
              <w:left w:val="single" w:sz="8" w:space="0" w:color="000000"/>
              <w:bottom w:val="single" w:sz="8" w:space="0" w:color="000000"/>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Yozgat</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Aydıncık</w:t>
            </w:r>
          </w:p>
        </w:tc>
      </w:tr>
      <w:tr w:rsidR="00E4732C" w:rsidRPr="00E4732C" w:rsidTr="00885680">
        <w:trPr>
          <w:trHeight w:val="330"/>
        </w:trPr>
        <w:tc>
          <w:tcPr>
            <w:tcW w:w="1266" w:type="dxa"/>
            <w:tcBorders>
              <w:top w:val="nil"/>
              <w:left w:val="single" w:sz="8" w:space="0" w:color="000000"/>
              <w:bottom w:val="nil"/>
              <w:right w:val="single" w:sz="8" w:space="0" w:color="000000"/>
            </w:tcBorders>
            <w:shd w:val="clear" w:color="auto" w:fill="auto"/>
            <w:tcMar>
              <w:top w:w="15" w:type="dxa"/>
              <w:left w:w="15" w:type="dxa"/>
              <w:bottom w:w="90" w:type="dxa"/>
              <w:right w:w="15" w:type="dxa"/>
            </w:tcMar>
            <w:vAlign w:val="center"/>
            <w:hideMark/>
          </w:tcPr>
          <w:p w:rsidR="00CF6CB9" w:rsidRPr="00E4732C" w:rsidRDefault="00CF6CB9" w:rsidP="00F64CF1">
            <w:pPr>
              <w:spacing w:after="0" w:line="240" w:lineRule="auto"/>
              <w:jc w:val="both"/>
              <w:rPr>
                <w:rFonts w:ascii="Arial" w:hAnsi="Arial" w:cs="Arial"/>
                <w:bCs/>
                <w:sz w:val="20"/>
                <w:szCs w:val="20"/>
              </w:rPr>
            </w:pPr>
            <w:r w:rsidRPr="00E4732C">
              <w:rPr>
                <w:rFonts w:ascii="Arial" w:hAnsi="Arial" w:cs="Arial"/>
                <w:bCs/>
                <w:sz w:val="20"/>
                <w:szCs w:val="20"/>
                <w:bdr w:val="none" w:sz="0" w:space="0" w:color="auto" w:frame="1"/>
              </w:rPr>
              <w:t>Zonguldak</w:t>
            </w:r>
          </w:p>
        </w:tc>
        <w:tc>
          <w:tcPr>
            <w:tcW w:w="7513" w:type="dxa"/>
            <w:tcBorders>
              <w:top w:val="nil"/>
              <w:left w:val="nil"/>
              <w:bottom w:val="single" w:sz="8" w:space="0" w:color="000000"/>
              <w:right w:val="single" w:sz="8" w:space="0" w:color="000000"/>
            </w:tcBorders>
            <w:shd w:val="clear" w:color="auto" w:fill="auto"/>
            <w:tcMar>
              <w:top w:w="15" w:type="dxa"/>
              <w:left w:w="15" w:type="dxa"/>
              <w:bottom w:w="90" w:type="dxa"/>
              <w:right w:w="15" w:type="dxa"/>
            </w:tcMar>
            <w:vAlign w:val="bottom"/>
            <w:hideMark/>
          </w:tcPr>
          <w:p w:rsidR="00CF6CB9" w:rsidRPr="00E4732C" w:rsidRDefault="00CF6CB9" w:rsidP="00F64CF1">
            <w:pPr>
              <w:spacing w:after="0" w:line="240" w:lineRule="auto"/>
              <w:jc w:val="both"/>
              <w:rPr>
                <w:rFonts w:ascii="Arial" w:hAnsi="Arial" w:cs="Arial"/>
                <w:sz w:val="20"/>
                <w:szCs w:val="20"/>
              </w:rPr>
            </w:pPr>
            <w:r w:rsidRPr="00E4732C">
              <w:rPr>
                <w:rFonts w:ascii="Arial" w:hAnsi="Arial" w:cs="Arial"/>
                <w:sz w:val="20"/>
                <w:szCs w:val="20"/>
                <w:bdr w:val="none" w:sz="0" w:space="0" w:color="auto" w:frame="1"/>
              </w:rPr>
              <w:t>Kilimli</w:t>
            </w:r>
            <w:r w:rsidR="00E4732C" w:rsidRPr="00E4732C">
              <w:rPr>
                <w:rFonts w:ascii="Arial" w:hAnsi="Arial" w:cs="Arial"/>
                <w:sz w:val="20"/>
                <w:szCs w:val="20"/>
                <w:bdr w:val="none" w:sz="0" w:space="0" w:color="auto" w:frame="1"/>
              </w:rPr>
              <w:t>, Gökçebey</w:t>
            </w:r>
          </w:p>
        </w:tc>
      </w:tr>
    </w:tbl>
    <w:p w:rsidR="001A718F" w:rsidRPr="00E4732C" w:rsidRDefault="001A718F" w:rsidP="00F64CF1">
      <w:pPr>
        <w:shd w:val="clear" w:color="auto" w:fill="F4F4F2"/>
        <w:spacing w:after="0" w:line="240" w:lineRule="auto"/>
        <w:jc w:val="both"/>
        <w:textAlignment w:val="baseline"/>
        <w:rPr>
          <w:rFonts w:ascii="Arial" w:hAnsi="Arial" w:cs="Arial"/>
          <w:bCs/>
          <w:sz w:val="20"/>
          <w:szCs w:val="20"/>
          <w:bdr w:val="none" w:sz="0" w:space="0" w:color="auto" w:frame="1"/>
        </w:rPr>
      </w:pPr>
    </w:p>
    <w:p w:rsidR="00CF6CB9" w:rsidRPr="00F642C9" w:rsidRDefault="00CF6CB9" w:rsidP="001A718F">
      <w:pPr>
        <w:shd w:val="clear" w:color="auto" w:fill="F4F4F2"/>
        <w:spacing w:after="0" w:line="240" w:lineRule="auto"/>
        <w:textAlignment w:val="baseline"/>
        <w:rPr>
          <w:rFonts w:ascii="Arial" w:hAnsi="Arial" w:cs="Arial"/>
          <w:color w:val="444444"/>
        </w:rPr>
      </w:pPr>
      <w:r w:rsidRPr="00F642C9">
        <w:rPr>
          <w:rFonts w:ascii="Arial" w:hAnsi="Arial" w:cs="Arial"/>
          <w:bCs/>
          <w:color w:val="000000"/>
          <w:bdr w:val="none" w:sz="0" w:space="0" w:color="auto" w:frame="1"/>
        </w:rPr>
        <w:t>MADDE 18-</w:t>
      </w:r>
      <w:r w:rsidRPr="00F642C9">
        <w:rPr>
          <w:rFonts w:ascii="Arial" w:hAnsi="Arial" w:cs="Arial"/>
          <w:color w:val="444444"/>
        </w:rPr>
        <w:t> Bu Kararın;</w:t>
      </w:r>
      <w:r w:rsidRPr="00F642C9">
        <w:rPr>
          <w:rFonts w:ascii="Arial" w:hAnsi="Arial" w:cs="Arial"/>
          <w:color w:val="444444"/>
        </w:rPr>
        <w:br/>
        <w:t>a) 6 ncı maddesi kapsamında Yatırımlarda Devlet Yardımları Hakkında Kararın 18 inci maddesinin birinci fıkrasının (a) bendinin sonuna eklenen cümle ile aynı maddeye eklenen beşinci fıkra 1/1/2021 tarihinde,</w:t>
      </w:r>
      <w:r w:rsidRPr="00F642C9">
        <w:rPr>
          <w:rFonts w:ascii="Arial" w:hAnsi="Arial" w:cs="Arial"/>
          <w:color w:val="444444"/>
        </w:rPr>
        <w:br/>
        <w:t>b) 9 uncu maddesi 1/1/2020 tarihinden geçerli olmak üzere yayımı tarihinde</w:t>
      </w:r>
      <w:hyperlink r:id="rId8" w:history="1">
        <w:r w:rsidRPr="00F642C9">
          <w:rPr>
            <w:rFonts w:ascii="Arial" w:hAnsi="Arial" w:cs="Arial"/>
            <w:color w:val="4BA196"/>
            <w:u w:val="single"/>
            <w:bdr w:val="none" w:sz="0" w:space="0" w:color="auto" w:frame="1"/>
          </w:rPr>
          <w:t>,</w:t>
        </w:r>
      </w:hyperlink>
      <w:r w:rsidRPr="00F642C9">
        <w:rPr>
          <w:rFonts w:ascii="Arial" w:hAnsi="Arial" w:cs="Arial"/>
          <w:color w:val="444444"/>
        </w:rPr>
        <w:br/>
        <w:t>c) 12 nci ve 17 nci maddeleri 1/1/2021 tarihinde,</w:t>
      </w:r>
      <w:r w:rsidRPr="00F642C9">
        <w:rPr>
          <w:rFonts w:ascii="Arial" w:hAnsi="Arial" w:cs="Arial"/>
          <w:color w:val="444444"/>
        </w:rPr>
        <w:br/>
        <w:t>ç) 14 üncü maddesi kapsamında değiştirilen Yatırımlarda Devlet Yardımları Hakkında Kararın EK-2B sayılı ve “İLLERİN BÖLGESEL DESTEKLERDEN YARARLANABİLECEK SEKTÖRLERİNE İLİŞKİN SEKTÖR NUMARALARI” başlıklı tablosunun kendisi 1/1/2021 tarihinde, aynı tabloya ait ” Dipnotlar” ise yayımı tarihinde,</w:t>
      </w:r>
      <w:r w:rsidRPr="00F642C9">
        <w:rPr>
          <w:rFonts w:ascii="Arial" w:hAnsi="Arial" w:cs="Arial"/>
          <w:color w:val="444444"/>
        </w:rPr>
        <w:br/>
        <w:t>d) Diğer maddeleri yayımı tarihinde, yürürlüğe girer.</w:t>
      </w:r>
    </w:p>
    <w:p w:rsidR="001A718F" w:rsidRPr="00F642C9" w:rsidRDefault="001A718F" w:rsidP="00F64CF1">
      <w:pPr>
        <w:shd w:val="clear" w:color="auto" w:fill="F4F4F2"/>
        <w:spacing w:after="0" w:line="240" w:lineRule="auto"/>
        <w:jc w:val="both"/>
        <w:textAlignment w:val="baseline"/>
        <w:rPr>
          <w:rFonts w:ascii="Arial" w:hAnsi="Arial" w:cs="Arial"/>
          <w:bCs/>
          <w:color w:val="000000"/>
          <w:bdr w:val="none" w:sz="0" w:space="0" w:color="auto" w:frame="1"/>
        </w:rPr>
      </w:pPr>
    </w:p>
    <w:p w:rsidR="00CF6CB9" w:rsidRDefault="00CF6CB9" w:rsidP="00F64CF1">
      <w:pPr>
        <w:shd w:val="clear" w:color="auto" w:fill="F4F4F2"/>
        <w:spacing w:after="0" w:line="240" w:lineRule="auto"/>
        <w:jc w:val="both"/>
        <w:textAlignment w:val="baseline"/>
        <w:rPr>
          <w:rFonts w:ascii="Arial" w:hAnsi="Arial" w:cs="Arial"/>
          <w:color w:val="444444"/>
        </w:rPr>
      </w:pPr>
      <w:r w:rsidRPr="00F642C9">
        <w:rPr>
          <w:rFonts w:ascii="Arial" w:hAnsi="Arial" w:cs="Arial"/>
          <w:bCs/>
          <w:color w:val="000000"/>
          <w:bdr w:val="none" w:sz="0" w:space="0" w:color="auto" w:frame="1"/>
        </w:rPr>
        <w:t>MADDE 19-</w:t>
      </w:r>
      <w:r w:rsidRPr="00F642C9">
        <w:rPr>
          <w:rFonts w:ascii="Arial" w:hAnsi="Arial" w:cs="Arial"/>
          <w:color w:val="444444"/>
        </w:rPr>
        <w:t> Bu Karar hükümlerini Sanayi ve Teknoloji Bakanı yürütür.</w:t>
      </w:r>
    </w:p>
    <w:p w:rsidR="00026775" w:rsidRDefault="00026775" w:rsidP="00F64CF1">
      <w:pPr>
        <w:shd w:val="clear" w:color="auto" w:fill="F4F4F2"/>
        <w:spacing w:after="0" w:line="240" w:lineRule="auto"/>
        <w:jc w:val="both"/>
        <w:textAlignment w:val="baseline"/>
        <w:rPr>
          <w:rFonts w:ascii="Arial" w:hAnsi="Arial" w:cs="Arial"/>
          <w:color w:val="444444"/>
        </w:rPr>
      </w:pPr>
    </w:p>
    <w:p w:rsidR="00026775" w:rsidRDefault="00026775" w:rsidP="00F64CF1">
      <w:pPr>
        <w:shd w:val="clear" w:color="auto" w:fill="F4F4F2"/>
        <w:spacing w:after="0" w:line="240" w:lineRule="auto"/>
        <w:jc w:val="both"/>
        <w:textAlignment w:val="baseline"/>
        <w:rPr>
          <w:rFonts w:ascii="Arial" w:hAnsi="Arial" w:cs="Arial"/>
          <w:color w:val="444444"/>
        </w:rPr>
      </w:pPr>
      <w:r>
        <w:rPr>
          <w:rFonts w:ascii="Arial" w:hAnsi="Arial" w:cs="Arial"/>
          <w:color w:val="444444"/>
        </w:rPr>
        <w:tab/>
        <w:t xml:space="preserve">Yatırım teşvik tebliğindeki değişiklikleri bu yazımızla bir nebze olsun açıklamaya çalıştık, hayırlı olmasını dilerim. </w:t>
      </w:r>
    </w:p>
    <w:p w:rsidR="00026775" w:rsidRDefault="00026775" w:rsidP="00F64CF1">
      <w:pPr>
        <w:shd w:val="clear" w:color="auto" w:fill="F4F4F2"/>
        <w:spacing w:after="0" w:line="240" w:lineRule="auto"/>
        <w:jc w:val="both"/>
        <w:textAlignment w:val="baseline"/>
        <w:rPr>
          <w:rFonts w:ascii="Arial" w:hAnsi="Arial" w:cs="Arial"/>
          <w:color w:val="444444"/>
        </w:rPr>
      </w:pPr>
    </w:p>
    <w:p w:rsidR="00026775" w:rsidRDefault="00026775" w:rsidP="00F64CF1">
      <w:pPr>
        <w:shd w:val="clear" w:color="auto" w:fill="F4F4F2"/>
        <w:spacing w:after="0" w:line="240" w:lineRule="auto"/>
        <w:jc w:val="both"/>
        <w:textAlignment w:val="baseline"/>
        <w:rPr>
          <w:rFonts w:ascii="Arial" w:hAnsi="Arial" w:cs="Arial"/>
          <w:color w:val="444444"/>
        </w:rPr>
      </w:pPr>
    </w:p>
    <w:p w:rsidR="00026775" w:rsidRDefault="00026775" w:rsidP="00F64CF1">
      <w:pPr>
        <w:shd w:val="clear" w:color="auto" w:fill="F4F4F2"/>
        <w:spacing w:after="0" w:line="240" w:lineRule="auto"/>
        <w:jc w:val="both"/>
        <w:textAlignment w:val="baseline"/>
        <w:rPr>
          <w:rFonts w:ascii="Arial" w:hAnsi="Arial" w:cs="Arial"/>
          <w:color w:val="444444"/>
        </w:rPr>
      </w:pP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t>Cevdet Akçakoca</w:t>
      </w:r>
    </w:p>
    <w:p w:rsidR="00026775" w:rsidRPr="00F642C9" w:rsidRDefault="00026775" w:rsidP="00F64CF1">
      <w:pPr>
        <w:shd w:val="clear" w:color="auto" w:fill="F4F4F2"/>
        <w:spacing w:after="0" w:line="240" w:lineRule="auto"/>
        <w:jc w:val="both"/>
        <w:textAlignment w:val="baseline"/>
        <w:rPr>
          <w:rFonts w:ascii="Arial" w:hAnsi="Arial" w:cs="Arial"/>
          <w:color w:val="444444"/>
        </w:rPr>
      </w:pP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t>Yeminli Mali Müşavir</w:t>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r>
      <w:r>
        <w:rPr>
          <w:rFonts w:ascii="Arial" w:hAnsi="Arial" w:cs="Arial"/>
          <w:color w:val="444444"/>
        </w:rPr>
        <w:tab/>
        <w:t xml:space="preserve">Bağımsız Denetçi </w:t>
      </w:r>
    </w:p>
    <w:p w:rsidR="0085177A" w:rsidRPr="00F642C9" w:rsidRDefault="0085177A" w:rsidP="00F64CF1">
      <w:pPr>
        <w:pStyle w:val="AralkYok"/>
        <w:jc w:val="both"/>
        <w:rPr>
          <w:rFonts w:ascii="Arial" w:hAnsi="Arial" w:cs="Arial"/>
        </w:rPr>
      </w:pPr>
    </w:p>
    <w:p w:rsidR="000B726C" w:rsidRPr="00F64CF1" w:rsidRDefault="000B726C" w:rsidP="00F64CF1">
      <w:pPr>
        <w:pStyle w:val="ListeParagraf"/>
        <w:jc w:val="both"/>
        <w:rPr>
          <w:rFonts w:ascii="Arial" w:hAnsi="Arial" w:cs="Arial"/>
          <w:sz w:val="24"/>
          <w:szCs w:val="24"/>
        </w:rPr>
      </w:pPr>
    </w:p>
    <w:p w:rsidR="000B726C" w:rsidRPr="00F64CF1" w:rsidRDefault="000B726C" w:rsidP="00F64CF1">
      <w:pPr>
        <w:jc w:val="both"/>
        <w:rPr>
          <w:rFonts w:ascii="Arial" w:hAnsi="Arial" w:cs="Arial"/>
          <w:sz w:val="24"/>
          <w:szCs w:val="24"/>
        </w:rPr>
      </w:pPr>
      <w:r w:rsidRPr="00F64CF1">
        <w:rPr>
          <w:rFonts w:ascii="Arial" w:hAnsi="Arial" w:cs="Arial"/>
          <w:sz w:val="24"/>
          <w:szCs w:val="24"/>
        </w:rPr>
        <w:t xml:space="preserve">  </w:t>
      </w:r>
    </w:p>
    <w:sectPr w:rsidR="000B726C" w:rsidRPr="00F64CF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65" w:rsidRDefault="008A7C65" w:rsidP="005B0898">
      <w:pPr>
        <w:spacing w:after="0" w:line="240" w:lineRule="auto"/>
      </w:pPr>
      <w:r>
        <w:separator/>
      </w:r>
    </w:p>
  </w:endnote>
  <w:endnote w:type="continuationSeparator" w:id="0">
    <w:p w:rsidR="008A7C65" w:rsidRDefault="008A7C65"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65" w:rsidRDefault="008A7C65" w:rsidP="005B0898">
      <w:pPr>
        <w:spacing w:after="0" w:line="240" w:lineRule="auto"/>
      </w:pPr>
      <w:r>
        <w:separator/>
      </w:r>
    </w:p>
  </w:footnote>
  <w:footnote w:type="continuationSeparator" w:id="0">
    <w:p w:rsidR="008A7C65" w:rsidRDefault="008A7C65"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B9" w:rsidRDefault="00CF6CB9">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CB9" w:rsidRDefault="00CF6CB9">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D0562">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CF6CB9" w:rsidRDefault="00CF6CB9">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D0562">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CF6CB9" w:rsidRDefault="00CF6C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8EC"/>
    <w:multiLevelType w:val="multilevel"/>
    <w:tmpl w:val="7990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92A79"/>
    <w:multiLevelType w:val="hybridMultilevel"/>
    <w:tmpl w:val="33A8245A"/>
    <w:lvl w:ilvl="0" w:tplc="C394A8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9A30F08"/>
    <w:multiLevelType w:val="hybridMultilevel"/>
    <w:tmpl w:val="110A0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26775"/>
    <w:rsid w:val="000B726C"/>
    <w:rsid w:val="00104866"/>
    <w:rsid w:val="001252EA"/>
    <w:rsid w:val="001340D2"/>
    <w:rsid w:val="001356A4"/>
    <w:rsid w:val="00141BE9"/>
    <w:rsid w:val="001704B8"/>
    <w:rsid w:val="00184212"/>
    <w:rsid w:val="001A718F"/>
    <w:rsid w:val="0023704D"/>
    <w:rsid w:val="002762E8"/>
    <w:rsid w:val="002A0CB6"/>
    <w:rsid w:val="002C6D28"/>
    <w:rsid w:val="002D68EB"/>
    <w:rsid w:val="002E63F0"/>
    <w:rsid w:val="002F4C38"/>
    <w:rsid w:val="0032361C"/>
    <w:rsid w:val="00370208"/>
    <w:rsid w:val="003B258C"/>
    <w:rsid w:val="004115F5"/>
    <w:rsid w:val="0041474F"/>
    <w:rsid w:val="00415864"/>
    <w:rsid w:val="0047232A"/>
    <w:rsid w:val="004D655D"/>
    <w:rsid w:val="0058049F"/>
    <w:rsid w:val="005B0898"/>
    <w:rsid w:val="00672EC0"/>
    <w:rsid w:val="006A5833"/>
    <w:rsid w:val="00763C13"/>
    <w:rsid w:val="007864B3"/>
    <w:rsid w:val="007A5FE6"/>
    <w:rsid w:val="007B0C77"/>
    <w:rsid w:val="007B0D82"/>
    <w:rsid w:val="007D18C5"/>
    <w:rsid w:val="007E3152"/>
    <w:rsid w:val="0085177A"/>
    <w:rsid w:val="00885680"/>
    <w:rsid w:val="00895BF2"/>
    <w:rsid w:val="008A7C65"/>
    <w:rsid w:val="008D3371"/>
    <w:rsid w:val="008D4514"/>
    <w:rsid w:val="00916765"/>
    <w:rsid w:val="009A4CF6"/>
    <w:rsid w:val="009D2F39"/>
    <w:rsid w:val="00A33E6E"/>
    <w:rsid w:val="00A72390"/>
    <w:rsid w:val="00A864C7"/>
    <w:rsid w:val="00A87940"/>
    <w:rsid w:val="00AC4BC1"/>
    <w:rsid w:val="00B0723E"/>
    <w:rsid w:val="00B560D7"/>
    <w:rsid w:val="00BC6D4A"/>
    <w:rsid w:val="00BE2EC5"/>
    <w:rsid w:val="00C0748B"/>
    <w:rsid w:val="00C803A7"/>
    <w:rsid w:val="00CD0562"/>
    <w:rsid w:val="00CF6CB9"/>
    <w:rsid w:val="00D51FF3"/>
    <w:rsid w:val="00D60D61"/>
    <w:rsid w:val="00D72C3F"/>
    <w:rsid w:val="00DC7AD1"/>
    <w:rsid w:val="00E4732C"/>
    <w:rsid w:val="00E5324B"/>
    <w:rsid w:val="00EA60E4"/>
    <w:rsid w:val="00EC1594"/>
    <w:rsid w:val="00EF0BAF"/>
    <w:rsid w:val="00F329AD"/>
    <w:rsid w:val="00F62C7F"/>
    <w:rsid w:val="00F642C9"/>
    <w:rsid w:val="00F64CF1"/>
    <w:rsid w:val="00FE6B42"/>
    <w:rsid w:val="00FF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semiHidden/>
    <w:unhideWhenUsed/>
    <w:rsid w:val="001356A4"/>
    <w:rPr>
      <w:color w:val="0000FF"/>
      <w:u w:val="single"/>
    </w:rPr>
  </w:style>
  <w:style w:type="paragraph" w:styleId="ListeParagraf">
    <w:name w:val="List Paragraph"/>
    <w:basedOn w:val="Normal"/>
    <w:uiPriority w:val="34"/>
    <w:qFormat/>
    <w:rsid w:val="001356A4"/>
    <w:pPr>
      <w:ind w:left="720"/>
    </w:pPr>
  </w:style>
  <w:style w:type="table" w:styleId="TabloBasit1">
    <w:name w:val="Table Simple 1"/>
    <w:basedOn w:val="NormalTablo"/>
    <w:rsid w:val="00A864C7"/>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85177A"/>
    <w:pPr>
      <w:spacing w:after="0" w:line="240" w:lineRule="auto"/>
    </w:pPr>
    <w:rPr>
      <w:rFonts w:eastAsiaTheme="minorEastAsia"/>
    </w:rPr>
  </w:style>
  <w:style w:type="paragraph" w:customStyle="1" w:styleId="Default">
    <w:name w:val="Default"/>
    <w:rsid w:val="0085177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numbering" w:customStyle="1" w:styleId="ListeYok1">
    <w:name w:val="Liste Yok1"/>
    <w:next w:val="ListeYok"/>
    <w:uiPriority w:val="99"/>
    <w:semiHidden/>
    <w:unhideWhenUsed/>
    <w:rsid w:val="00CF6CB9"/>
  </w:style>
  <w:style w:type="paragraph" w:styleId="NormalWeb">
    <w:name w:val="Normal (Web)"/>
    <w:basedOn w:val="Normal"/>
    <w:uiPriority w:val="99"/>
    <w:semiHidden/>
    <w:unhideWhenUsed/>
    <w:rsid w:val="00CF6CB9"/>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CF6CB9"/>
    <w:rPr>
      <w:b/>
      <w:bCs/>
    </w:rPr>
  </w:style>
  <w:style w:type="character" w:styleId="zlenenKpr">
    <w:name w:val="FollowedHyperlink"/>
    <w:basedOn w:val="VarsaylanParagrafYazTipi"/>
    <w:uiPriority w:val="99"/>
    <w:semiHidden/>
    <w:unhideWhenUsed/>
    <w:rsid w:val="00CF6CB9"/>
    <w:rPr>
      <w:color w:val="800080"/>
      <w:u w:val="single"/>
    </w:rPr>
  </w:style>
  <w:style w:type="table" w:styleId="TabloKlavuzu">
    <w:name w:val="Table Grid"/>
    <w:basedOn w:val="NormalTablo"/>
    <w:uiPriority w:val="39"/>
    <w:rsid w:val="009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606541939">
      <w:bodyDiv w:val="1"/>
      <w:marLeft w:val="0"/>
      <w:marRight w:val="0"/>
      <w:marTop w:val="0"/>
      <w:marBottom w:val="0"/>
      <w:divBdr>
        <w:top w:val="none" w:sz="0" w:space="0" w:color="auto"/>
        <w:left w:val="none" w:sz="0" w:space="0" w:color="auto"/>
        <w:bottom w:val="none" w:sz="0" w:space="0" w:color="auto"/>
        <w:right w:val="none" w:sz="0" w:space="0" w:color="auto"/>
      </w:divBdr>
    </w:div>
    <w:div w:id="1193156159">
      <w:bodyDiv w:val="1"/>
      <w:marLeft w:val="0"/>
      <w:marRight w:val="0"/>
      <w:marTop w:val="0"/>
      <w:marBottom w:val="0"/>
      <w:divBdr>
        <w:top w:val="none" w:sz="0" w:space="0" w:color="auto"/>
        <w:left w:val="none" w:sz="0" w:space="0" w:color="auto"/>
        <w:bottom w:val="none" w:sz="0" w:space="0" w:color="auto"/>
        <w:right w:val="none" w:sz="0" w:space="0" w:color="auto"/>
      </w:divBdr>
    </w:div>
    <w:div w:id="1490442668">
      <w:bodyDiv w:val="1"/>
      <w:marLeft w:val="0"/>
      <w:marRight w:val="0"/>
      <w:marTop w:val="0"/>
      <w:marBottom w:val="0"/>
      <w:divBdr>
        <w:top w:val="none" w:sz="0" w:space="0" w:color="auto"/>
        <w:left w:val="none" w:sz="0" w:space="0" w:color="auto"/>
        <w:bottom w:val="none" w:sz="0" w:space="0" w:color="auto"/>
        <w:right w:val="none" w:sz="0" w:space="0" w:color="auto"/>
      </w:divBdr>
      <w:divsChild>
        <w:div w:id="1445270418">
          <w:marLeft w:val="0"/>
          <w:marRight w:val="0"/>
          <w:marTop w:val="0"/>
          <w:marBottom w:val="0"/>
          <w:divBdr>
            <w:top w:val="none" w:sz="0" w:space="0" w:color="auto"/>
            <w:left w:val="none" w:sz="0" w:space="0" w:color="auto"/>
            <w:bottom w:val="none" w:sz="0" w:space="0" w:color="auto"/>
            <w:right w:val="none" w:sz="0" w:space="0" w:color="auto"/>
          </w:divBdr>
          <w:divsChild>
            <w:div w:id="1430660161">
              <w:marLeft w:val="0"/>
              <w:marRight w:val="0"/>
              <w:marTop w:val="0"/>
              <w:marBottom w:val="0"/>
              <w:divBdr>
                <w:top w:val="none" w:sz="0" w:space="0" w:color="auto"/>
                <w:left w:val="none" w:sz="0" w:space="0" w:color="auto"/>
                <w:bottom w:val="none" w:sz="0" w:space="0" w:color="auto"/>
                <w:right w:val="none" w:sz="0" w:space="0" w:color="auto"/>
              </w:divBdr>
              <w:divsChild>
                <w:div w:id="1605193158">
                  <w:marLeft w:val="0"/>
                  <w:marRight w:val="0"/>
                  <w:marTop w:val="0"/>
                  <w:marBottom w:val="0"/>
                  <w:divBdr>
                    <w:top w:val="none" w:sz="0" w:space="0" w:color="auto"/>
                    <w:left w:val="none" w:sz="0" w:space="0" w:color="auto"/>
                    <w:bottom w:val="none" w:sz="0" w:space="0" w:color="auto"/>
                    <w:right w:val="none" w:sz="0" w:space="0" w:color="auto"/>
                  </w:divBdr>
                  <w:divsChild>
                    <w:div w:id="1293055243">
                      <w:marLeft w:val="-225"/>
                      <w:marRight w:val="-225"/>
                      <w:marTop w:val="0"/>
                      <w:marBottom w:val="0"/>
                      <w:divBdr>
                        <w:top w:val="none" w:sz="0" w:space="0" w:color="auto"/>
                        <w:left w:val="none" w:sz="0" w:space="0" w:color="auto"/>
                        <w:bottom w:val="none" w:sz="0" w:space="0" w:color="auto"/>
                        <w:right w:val="none" w:sz="0" w:space="0" w:color="auto"/>
                      </w:divBdr>
                      <w:divsChild>
                        <w:div w:id="108821485">
                          <w:marLeft w:val="0"/>
                          <w:marRight w:val="0"/>
                          <w:marTop w:val="0"/>
                          <w:marBottom w:val="0"/>
                          <w:divBdr>
                            <w:top w:val="none" w:sz="0" w:space="0" w:color="auto"/>
                            <w:left w:val="none" w:sz="0" w:space="0" w:color="auto"/>
                            <w:bottom w:val="none" w:sz="0" w:space="0" w:color="auto"/>
                            <w:right w:val="none" w:sz="0" w:space="0" w:color="auto"/>
                          </w:divBdr>
                          <w:divsChild>
                            <w:div w:id="1912501473">
                              <w:marLeft w:val="0"/>
                              <w:marRight w:val="0"/>
                              <w:marTop w:val="0"/>
                              <w:marBottom w:val="0"/>
                              <w:divBdr>
                                <w:top w:val="none" w:sz="0" w:space="0" w:color="auto"/>
                                <w:left w:val="none" w:sz="0" w:space="0" w:color="auto"/>
                                <w:bottom w:val="none" w:sz="0" w:space="0" w:color="auto"/>
                                <w:right w:val="none" w:sz="0" w:space="0" w:color="auto"/>
                              </w:divBdr>
                              <w:divsChild>
                                <w:div w:id="1468008408">
                                  <w:marLeft w:val="0"/>
                                  <w:marRight w:val="0"/>
                                  <w:marTop w:val="0"/>
                                  <w:marBottom w:val="0"/>
                                  <w:divBdr>
                                    <w:top w:val="none" w:sz="0" w:space="0" w:color="auto"/>
                                    <w:left w:val="single" w:sz="6" w:space="31" w:color="DADADA"/>
                                    <w:bottom w:val="single" w:sz="6" w:space="31" w:color="DADADA"/>
                                    <w:right w:val="single" w:sz="6" w:space="31" w:color="DADADA"/>
                                  </w:divBdr>
                                  <w:divsChild>
                                    <w:div w:id="741297120">
                                      <w:marLeft w:val="0"/>
                                      <w:marRight w:val="0"/>
                                      <w:marTop w:val="0"/>
                                      <w:marBottom w:val="450"/>
                                      <w:divBdr>
                                        <w:top w:val="none" w:sz="0" w:space="0" w:color="auto"/>
                                        <w:left w:val="none" w:sz="0" w:space="0" w:color="auto"/>
                                        <w:bottom w:val="none" w:sz="0" w:space="0" w:color="auto"/>
                                        <w:right w:val="none" w:sz="0" w:space="0" w:color="auto"/>
                                      </w:divBdr>
                                    </w:div>
                                    <w:div w:id="17634517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026367">
      <w:bodyDiv w:val="1"/>
      <w:marLeft w:val="0"/>
      <w:marRight w:val="0"/>
      <w:marTop w:val="0"/>
      <w:marBottom w:val="0"/>
      <w:divBdr>
        <w:top w:val="none" w:sz="0" w:space="0" w:color="auto"/>
        <w:left w:val="none" w:sz="0" w:space="0" w:color="auto"/>
        <w:bottom w:val="none" w:sz="0" w:space="0" w:color="auto"/>
        <w:right w:val="none" w:sz="0" w:space="0" w:color="auto"/>
      </w:divBdr>
    </w:div>
    <w:div w:id="18296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gemusavirlik.com/2020-yeni-yatirim-tesvik-belgesi-karar-degisikligi-yayimlandi.htm" TargetMode="External"/><Relationship Id="rId3" Type="http://schemas.openxmlformats.org/officeDocument/2006/relationships/settings" Target="settings.xml"/><Relationship Id="rId7" Type="http://schemas.openxmlformats.org/officeDocument/2006/relationships/hyperlink" Target="https://dengemusavirlik.com/2020-yeni-yatirim-tesvik-belgesi-karar-degisikligi-yayimland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4080</Words>
  <Characters>23260</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2</cp:revision>
  <dcterms:created xsi:type="dcterms:W3CDTF">2020-08-24T11:07:00Z</dcterms:created>
  <dcterms:modified xsi:type="dcterms:W3CDTF">2020-08-24T11:07:00Z</dcterms:modified>
</cp:coreProperties>
</file>