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8E" w:rsidRPr="00090158" w:rsidRDefault="00A9768E">
      <w:pPr>
        <w:rPr>
          <w:rFonts w:ascii="Arial" w:hAnsi="Arial" w:cs="Arial"/>
          <w:b/>
        </w:rPr>
      </w:pPr>
      <w:r w:rsidRPr="00090158">
        <w:rPr>
          <w:rFonts w:ascii="Arial" w:hAnsi="Arial" w:cs="Arial"/>
          <w:b/>
        </w:rPr>
        <w:t>Bursa, 18.Kasım.2013</w:t>
      </w:r>
      <w:bookmarkStart w:id="0" w:name="_GoBack"/>
      <w:bookmarkEnd w:id="0"/>
    </w:p>
    <w:p w:rsidR="00A9768E" w:rsidRPr="00580DCC" w:rsidRDefault="00A9768E">
      <w:pPr>
        <w:rPr>
          <w:rFonts w:ascii="Arial" w:hAnsi="Arial" w:cs="Arial"/>
        </w:rPr>
      </w:pPr>
    </w:p>
    <w:p w:rsidR="00A9768E" w:rsidRPr="00580DCC" w:rsidRDefault="00A9768E">
      <w:pPr>
        <w:rPr>
          <w:rFonts w:ascii="Arial" w:hAnsi="Arial" w:cs="Arial"/>
        </w:rPr>
      </w:pPr>
      <w:r w:rsidRPr="00580DCC">
        <w:rPr>
          <w:rFonts w:ascii="Arial" w:hAnsi="Arial" w:cs="Arial"/>
        </w:rPr>
        <w:t>BİR KERELİK YENİDEN DEĞERLEME VEYA ENFLASYON DÜZELTMESİ YAPILMALIDIR.</w:t>
      </w:r>
    </w:p>
    <w:p w:rsidR="00A9768E" w:rsidRPr="00580DCC" w:rsidRDefault="00A9768E">
      <w:pPr>
        <w:rPr>
          <w:rFonts w:ascii="Arial" w:hAnsi="Arial" w:cs="Arial"/>
        </w:rPr>
      </w:pPr>
    </w:p>
    <w:p w:rsidR="00A9768E" w:rsidRPr="00580DCC" w:rsidRDefault="00A9768E" w:rsidP="00A9768E">
      <w:pPr>
        <w:spacing w:after="0" w:line="276" w:lineRule="auto"/>
        <w:ind w:firstLine="708"/>
        <w:jc w:val="both"/>
        <w:rPr>
          <w:rFonts w:ascii="Arial" w:eastAsia="Times New Roman" w:hAnsi="Arial" w:cs="Arial"/>
          <w:lang w:eastAsia="tr-TR"/>
        </w:rPr>
      </w:pPr>
      <w:r w:rsidRPr="00580DCC">
        <w:rPr>
          <w:rFonts w:ascii="Arial" w:eastAsia="Times New Roman" w:hAnsi="Arial" w:cs="Arial"/>
          <w:lang w:eastAsia="tr-TR"/>
        </w:rPr>
        <w:t xml:space="preserve">2013 yeniden değerleme oranı </w:t>
      </w:r>
      <w:proofErr w:type="spellStart"/>
      <w:r w:rsidRPr="00580DCC">
        <w:rPr>
          <w:rFonts w:ascii="Arial" w:eastAsia="Times New Roman" w:hAnsi="Arial" w:cs="Arial"/>
          <w:lang w:eastAsia="tr-TR"/>
        </w:rPr>
        <w:t>tesbit</w:t>
      </w:r>
      <w:proofErr w:type="spellEnd"/>
      <w:r w:rsidRPr="00580DCC">
        <w:rPr>
          <w:rFonts w:ascii="Arial" w:eastAsia="Times New Roman" w:hAnsi="Arial" w:cs="Arial"/>
          <w:lang w:eastAsia="tr-TR"/>
        </w:rPr>
        <w:t xml:space="preserve"> edildi ve yıllık %3,93 </w:t>
      </w:r>
      <w:r w:rsidR="00CD0C97">
        <w:rPr>
          <w:rFonts w:ascii="Arial" w:eastAsia="Times New Roman" w:hAnsi="Arial" w:cs="Arial"/>
          <w:lang w:eastAsia="tr-TR"/>
        </w:rPr>
        <w:t>olarak ilan edildi. Yeniden değerlemeye bağlı olarak bazı</w:t>
      </w:r>
      <w:r w:rsidRPr="00580DCC">
        <w:rPr>
          <w:rFonts w:ascii="Arial" w:eastAsia="Times New Roman" w:hAnsi="Arial" w:cs="Arial"/>
          <w:lang w:eastAsia="tr-TR"/>
        </w:rPr>
        <w:t xml:space="preserve"> haberler çıkmaya başladı. Gelecek 2014 yılının </w:t>
      </w:r>
      <w:r w:rsidR="00CD0C97">
        <w:rPr>
          <w:rFonts w:ascii="Arial" w:eastAsia="Times New Roman" w:hAnsi="Arial" w:cs="Arial"/>
          <w:lang w:eastAsia="tr-TR"/>
        </w:rPr>
        <w:t>ve</w:t>
      </w:r>
      <w:r w:rsidRPr="00580DCC">
        <w:rPr>
          <w:rFonts w:ascii="Arial" w:eastAsia="Times New Roman" w:hAnsi="Arial" w:cs="Arial"/>
          <w:lang w:eastAsia="tr-TR"/>
        </w:rPr>
        <w:t>rgilerinin ve emlak vergileri, vergi cezaları gibi bazı konularda da hemen çalış</w:t>
      </w:r>
      <w:r w:rsidR="00CD0C97">
        <w:rPr>
          <w:rFonts w:ascii="Arial" w:eastAsia="Times New Roman" w:hAnsi="Arial" w:cs="Arial"/>
          <w:lang w:eastAsia="tr-TR"/>
        </w:rPr>
        <w:t xml:space="preserve">malar başladı. Birçok meslektaş, yeniden değerleme oranını ele alarak yazılar </w:t>
      </w:r>
      <w:r w:rsidRPr="00580DCC">
        <w:rPr>
          <w:rFonts w:ascii="Arial" w:eastAsia="Times New Roman" w:hAnsi="Arial" w:cs="Arial"/>
          <w:lang w:eastAsia="tr-TR"/>
        </w:rPr>
        <w:t xml:space="preserve">yazmaya başladı. </w:t>
      </w:r>
    </w:p>
    <w:p w:rsidR="00A9768E" w:rsidRPr="00580DCC" w:rsidRDefault="00A9768E" w:rsidP="00A9768E">
      <w:pPr>
        <w:spacing w:after="0" w:line="276" w:lineRule="auto"/>
        <w:ind w:firstLine="708"/>
        <w:jc w:val="both"/>
        <w:rPr>
          <w:rFonts w:ascii="Arial" w:eastAsia="Times New Roman" w:hAnsi="Arial" w:cs="Arial"/>
          <w:lang w:eastAsia="tr-TR"/>
        </w:rPr>
      </w:pPr>
      <w:r w:rsidRPr="00580DCC">
        <w:rPr>
          <w:rFonts w:ascii="Arial" w:eastAsia="Times New Roman" w:hAnsi="Arial" w:cs="Arial"/>
          <w:lang w:eastAsia="tr-TR"/>
        </w:rPr>
        <w:t xml:space="preserve">Ben de bir araştırma yapayım, yeniden değerleme ve enflasyon düzeltmesi konusunu, enflasyonsuz dönemi bir inceleyeyim dedim. Ama şaşırtıcı bazı sonuçlara ulaştığım kanaatine vardım. Vardığım sonuçları gerek meslektaşlarım ve gerekse siz değerli okurlarla paylaşayım da belki devlet yetkililerinin de dikkati çekilmiş olur diye düşündüm. </w:t>
      </w:r>
    </w:p>
    <w:p w:rsidR="00A9768E" w:rsidRPr="00580DCC" w:rsidRDefault="00A9768E" w:rsidP="00A9768E">
      <w:pPr>
        <w:spacing w:after="0" w:line="276" w:lineRule="auto"/>
        <w:ind w:firstLine="708"/>
        <w:jc w:val="both"/>
        <w:rPr>
          <w:rFonts w:ascii="Arial" w:eastAsia="Times New Roman" w:hAnsi="Arial" w:cs="Arial"/>
          <w:lang w:eastAsia="tr-TR"/>
        </w:rPr>
      </w:pPr>
      <w:r w:rsidRPr="00580DCC">
        <w:rPr>
          <w:rFonts w:ascii="Arial" w:eastAsia="Times New Roman" w:hAnsi="Arial" w:cs="Arial"/>
          <w:lang w:eastAsia="tr-TR"/>
        </w:rPr>
        <w:t xml:space="preserve">Enflasyon düzeltmesi ve yeniden değerleme konusunu ele aldığımızda, ülkemizin yıllarca ağır bir enflasyon yaşadığını, bununla başa çıkabilmek için yeniden değerleme müessesesinin kurulduğunu, daha sonra özellikle 2003 den sonra enflasyonla ciddi bir mücadeleye karar verildiği zaman bir defalık olmak üzere yine çok ciddi bir enflasyon düzeltmesi ile bilançoların düzeltildiğini görüyoruz. </w:t>
      </w:r>
    </w:p>
    <w:p w:rsidR="00A9768E" w:rsidRPr="00580DCC" w:rsidRDefault="00A9768E" w:rsidP="00A9768E">
      <w:pPr>
        <w:spacing w:after="0" w:line="276" w:lineRule="auto"/>
        <w:ind w:firstLine="708"/>
        <w:jc w:val="both"/>
        <w:rPr>
          <w:rFonts w:ascii="Arial" w:eastAsia="Times New Roman" w:hAnsi="Arial" w:cs="Arial"/>
          <w:lang w:eastAsia="tr-TR"/>
        </w:rPr>
      </w:pPr>
      <w:r w:rsidRPr="00580DCC">
        <w:rPr>
          <w:rFonts w:ascii="Arial" w:eastAsia="Times New Roman" w:hAnsi="Arial" w:cs="Arial"/>
          <w:lang w:eastAsia="tr-TR"/>
        </w:rPr>
        <w:t xml:space="preserve">Enflasyon düzeltmesi ve yeniden değerlemeyi vergi usul kanununun </w:t>
      </w:r>
      <w:proofErr w:type="spellStart"/>
      <w:r w:rsidRPr="00580DCC">
        <w:rPr>
          <w:rFonts w:ascii="Arial" w:eastAsia="Times New Roman" w:hAnsi="Arial" w:cs="Arial"/>
          <w:lang w:eastAsia="tr-TR"/>
        </w:rPr>
        <w:t>mükerrrer</w:t>
      </w:r>
      <w:proofErr w:type="spellEnd"/>
      <w:r w:rsidRPr="00580DCC">
        <w:rPr>
          <w:rFonts w:ascii="Arial" w:eastAsia="Times New Roman" w:hAnsi="Arial" w:cs="Arial"/>
          <w:lang w:eastAsia="tr-TR"/>
        </w:rPr>
        <w:t xml:space="preserve"> 298 inci maddesi </w:t>
      </w:r>
      <w:r w:rsidR="007C001B">
        <w:rPr>
          <w:rFonts w:ascii="Arial" w:eastAsia="Times New Roman" w:hAnsi="Arial" w:cs="Arial"/>
          <w:lang w:eastAsia="tr-TR"/>
        </w:rPr>
        <w:t>ele almıştır.</w:t>
      </w:r>
      <w:r w:rsidRPr="00580DCC">
        <w:rPr>
          <w:rFonts w:ascii="Arial" w:eastAsia="Times New Roman" w:hAnsi="Arial" w:cs="Arial"/>
          <w:lang w:eastAsia="tr-TR"/>
        </w:rPr>
        <w:t xml:space="preserve"> </w:t>
      </w:r>
    </w:p>
    <w:p w:rsidR="00A9768E" w:rsidRPr="00580DCC" w:rsidRDefault="00A9768E" w:rsidP="00A9768E">
      <w:pPr>
        <w:rPr>
          <w:rFonts w:ascii="Arial" w:hAnsi="Arial" w:cs="Arial"/>
        </w:rPr>
      </w:pPr>
    </w:p>
    <w:p w:rsidR="00A9768E" w:rsidRPr="00580DCC" w:rsidRDefault="00A9768E" w:rsidP="00A9768E">
      <w:pPr>
        <w:rPr>
          <w:rFonts w:ascii="Arial" w:hAnsi="Arial" w:cs="Arial"/>
        </w:rPr>
      </w:pPr>
      <w:r w:rsidRPr="00580DCC">
        <w:rPr>
          <w:rFonts w:ascii="Arial" w:hAnsi="Arial" w:cs="Arial"/>
        </w:rPr>
        <w:t>M</w:t>
      </w:r>
      <w:r w:rsidR="00925FF1">
        <w:rPr>
          <w:rFonts w:ascii="Arial" w:hAnsi="Arial" w:cs="Arial"/>
        </w:rPr>
        <w:t>ü</w:t>
      </w:r>
      <w:r w:rsidRPr="00580DCC">
        <w:rPr>
          <w:rFonts w:ascii="Arial" w:hAnsi="Arial" w:cs="Arial"/>
        </w:rPr>
        <w:t xml:space="preserve">kerrer Madde 298 in ilgili kısmı aşağıdaki gibidir.  </w:t>
      </w:r>
    </w:p>
    <w:p w:rsidR="00A9768E" w:rsidRPr="00580DCC" w:rsidRDefault="00A9768E" w:rsidP="00A9768E">
      <w:pPr>
        <w:rPr>
          <w:rFonts w:ascii="Arial" w:hAnsi="Arial" w:cs="Arial"/>
        </w:rPr>
      </w:pPr>
      <w:r w:rsidRPr="00580DCC">
        <w:rPr>
          <w:rFonts w:ascii="Arial" w:hAnsi="Arial" w:cs="Arial"/>
        </w:rPr>
        <w:t xml:space="preserve">Kapsam  </w:t>
      </w:r>
    </w:p>
    <w:p w:rsidR="00A9768E" w:rsidRPr="00580DCC" w:rsidRDefault="00A9768E" w:rsidP="00A9768E">
      <w:pPr>
        <w:rPr>
          <w:rFonts w:ascii="Arial" w:hAnsi="Arial" w:cs="Arial"/>
        </w:rPr>
      </w:pPr>
      <w:r w:rsidRPr="00580DCC">
        <w:rPr>
          <w:rFonts w:ascii="Arial" w:hAnsi="Arial" w:cs="Arial"/>
        </w:rPr>
        <w:t>(5024 Sayılı Kanunun 2'inci maddesiyle değişen Madde: Yürürlük;01.01.2004)A</w:t>
      </w:r>
      <w:proofErr w:type="gramStart"/>
      <w:r w:rsidRPr="00580DCC">
        <w:rPr>
          <w:rFonts w:ascii="Arial" w:hAnsi="Arial" w:cs="Arial"/>
        </w:rPr>
        <w:t>)</w:t>
      </w:r>
      <w:proofErr w:type="gramEnd"/>
      <w:r w:rsidRPr="00580DCC">
        <w:rPr>
          <w:rFonts w:ascii="Arial" w:hAnsi="Arial" w:cs="Arial"/>
        </w:rPr>
        <w:t xml:space="preserve"> Malî tablolarda yer alan parasal olmayan kıymetler aşağıdaki hükümlere göre enflasyon düzeltmesine tâbi tutulur. </w:t>
      </w:r>
    </w:p>
    <w:p w:rsidR="00A9768E" w:rsidRPr="00580DCC" w:rsidRDefault="00A9768E" w:rsidP="00A9768E">
      <w:pPr>
        <w:rPr>
          <w:rFonts w:ascii="Arial" w:hAnsi="Arial" w:cs="Arial"/>
        </w:rPr>
      </w:pPr>
      <w:r w:rsidRPr="00580DCC">
        <w:rPr>
          <w:rFonts w:ascii="Arial" w:hAnsi="Arial" w:cs="Arial"/>
        </w:rPr>
        <w:t xml:space="preserve">1. Kazançlarını bilanço esasına göre tespit eden gelir ve kurumlar vergisi mükellefleri fiyat endeksindeki artışın, içinde bulunulan dönem </w:t>
      </w:r>
      <w:proofErr w:type="gramStart"/>
      <w:r w:rsidRPr="00580DCC">
        <w:rPr>
          <w:rFonts w:ascii="Arial" w:hAnsi="Arial" w:cs="Arial"/>
        </w:rPr>
        <w:t>dahil</w:t>
      </w:r>
      <w:proofErr w:type="gramEnd"/>
      <w:r w:rsidRPr="00580DCC">
        <w:rPr>
          <w:rFonts w:ascii="Arial" w:hAnsi="Arial" w:cs="Arial"/>
        </w:rPr>
        <w:t xml:space="preserve"> son üç hesap döneminde %100'den ve içinde bulunulan hesap döneminde % 10'dan fazla olması halinde malî tablolarını enflasyon düzeltmesine tâbi tutarlar. Enflasyon düzeltmesi uygulaması, her iki şartın birlikte gerçekleşmemesi halinde sona erer. </w:t>
      </w:r>
    </w:p>
    <w:p w:rsidR="00A9768E" w:rsidRPr="00580DCC" w:rsidRDefault="00A9768E" w:rsidP="00A9768E">
      <w:pPr>
        <w:rPr>
          <w:rFonts w:ascii="Arial" w:hAnsi="Arial" w:cs="Arial"/>
        </w:rPr>
      </w:pPr>
    </w:p>
    <w:p w:rsidR="00A9768E" w:rsidRPr="00580DCC" w:rsidRDefault="00A9768E" w:rsidP="00A9768E">
      <w:pPr>
        <w:rPr>
          <w:rFonts w:ascii="Arial" w:hAnsi="Arial" w:cs="Arial"/>
        </w:rPr>
      </w:pPr>
      <w:r w:rsidRPr="00580DCC">
        <w:rPr>
          <w:rFonts w:ascii="Arial" w:hAnsi="Arial" w:cs="Arial"/>
        </w:rPr>
        <w:t xml:space="preserve">Kapsama giren mükellefler, geçici vergi dönemlerinin sonu itibarıyla malî tabloları düzenlemek ve enflasyon düzeltmesi yapmak zorundadırlar. Geçici vergi dönemlerinde yukarıda belirtilen oranların tespitinde, son üç hesap dönemi yerine üçer aylık dönemlerin son ayı </w:t>
      </w:r>
      <w:proofErr w:type="gramStart"/>
      <w:r w:rsidRPr="00580DCC">
        <w:rPr>
          <w:rFonts w:ascii="Arial" w:hAnsi="Arial" w:cs="Arial"/>
        </w:rPr>
        <w:t>dahil</w:t>
      </w:r>
      <w:proofErr w:type="gramEnd"/>
      <w:r w:rsidRPr="00580DCC">
        <w:rPr>
          <w:rFonts w:ascii="Arial" w:hAnsi="Arial" w:cs="Arial"/>
        </w:rPr>
        <w:t xml:space="preserve"> önceki </w:t>
      </w:r>
      <w:proofErr w:type="spellStart"/>
      <w:r w:rsidRPr="00580DCC">
        <w:rPr>
          <w:rFonts w:ascii="Arial" w:hAnsi="Arial" w:cs="Arial"/>
        </w:rPr>
        <w:t>otuzaltı</w:t>
      </w:r>
      <w:proofErr w:type="spellEnd"/>
      <w:r w:rsidRPr="00580DCC">
        <w:rPr>
          <w:rFonts w:ascii="Arial" w:hAnsi="Arial" w:cs="Arial"/>
        </w:rPr>
        <w:t xml:space="preserve"> ay ve içinde bulunulan hesap dönemi yerine son </w:t>
      </w:r>
      <w:proofErr w:type="spellStart"/>
      <w:r w:rsidRPr="00580DCC">
        <w:rPr>
          <w:rFonts w:ascii="Arial" w:hAnsi="Arial" w:cs="Arial"/>
        </w:rPr>
        <w:t>oniki</w:t>
      </w:r>
      <w:proofErr w:type="spellEnd"/>
      <w:r w:rsidRPr="00580DCC">
        <w:rPr>
          <w:rFonts w:ascii="Arial" w:hAnsi="Arial" w:cs="Arial"/>
        </w:rPr>
        <w:t xml:space="preserve"> ay dikkate alınır. Bir hesap dönemi içindeki geçici vergi dönemlerinin herhangi birinde düzeltme yapılması halinde takip eden geçici vergi dönemlerinde ve içinde bulunulan hesap dönemi sonunda da düzeltme yapılır. </w:t>
      </w:r>
    </w:p>
    <w:p w:rsidR="00A9768E" w:rsidRPr="00580DCC" w:rsidRDefault="00A9768E" w:rsidP="00A9768E">
      <w:pPr>
        <w:rPr>
          <w:rFonts w:ascii="Arial" w:hAnsi="Arial" w:cs="Arial"/>
        </w:rPr>
      </w:pPr>
    </w:p>
    <w:p w:rsidR="00A9768E" w:rsidRPr="00580DCC" w:rsidRDefault="00A9768E" w:rsidP="00A9768E">
      <w:pPr>
        <w:rPr>
          <w:rFonts w:ascii="Arial" w:hAnsi="Arial" w:cs="Arial"/>
        </w:rPr>
      </w:pPr>
      <w:r w:rsidRPr="00580DCC">
        <w:rPr>
          <w:rFonts w:ascii="Arial" w:hAnsi="Arial" w:cs="Arial"/>
        </w:rPr>
        <w:t xml:space="preserve">Bakanlar Kurulu; bu maddede yer alan % 100 oranını % 35'e kadar indirmeye veya tekrar kanunî seviyesine kadar yükseltmeye, % 10 oranını ise % 25'e kadar çıkarmaya veya tekrar kanunî seviyesine kadar indirmeye yetkilidir. </w:t>
      </w:r>
    </w:p>
    <w:p w:rsidR="00090158" w:rsidRDefault="00090158" w:rsidP="00BC1471">
      <w:pPr>
        <w:rPr>
          <w:rFonts w:ascii="Arial" w:hAnsi="Arial" w:cs="Arial"/>
        </w:rPr>
      </w:pPr>
    </w:p>
    <w:p w:rsidR="00090158" w:rsidRDefault="00090158" w:rsidP="00BC1471">
      <w:pPr>
        <w:rPr>
          <w:rFonts w:ascii="Arial" w:hAnsi="Arial" w:cs="Arial"/>
        </w:rPr>
      </w:pPr>
    </w:p>
    <w:p w:rsidR="00BC1471" w:rsidRPr="00580DCC" w:rsidRDefault="00BC1471" w:rsidP="00BC1471">
      <w:pPr>
        <w:rPr>
          <w:rFonts w:ascii="Arial" w:hAnsi="Arial" w:cs="Arial"/>
        </w:rPr>
      </w:pPr>
      <w:r w:rsidRPr="00580DCC">
        <w:rPr>
          <w:rFonts w:ascii="Arial" w:hAnsi="Arial" w:cs="Arial"/>
        </w:rPr>
        <w:t xml:space="preserve">B) Yeniden değerleme oranı, yeniden değerleme yapılacak yılın Ekim ayında (Ekim ayı </w:t>
      </w:r>
      <w:proofErr w:type="gramStart"/>
      <w:r w:rsidRPr="00580DCC">
        <w:rPr>
          <w:rFonts w:ascii="Arial" w:hAnsi="Arial" w:cs="Arial"/>
        </w:rPr>
        <w:t>dahil</w:t>
      </w:r>
      <w:proofErr w:type="gramEnd"/>
      <w:r w:rsidRPr="00580DCC">
        <w:rPr>
          <w:rFonts w:ascii="Arial" w:hAnsi="Arial" w:cs="Arial"/>
        </w:rPr>
        <w:t>) bir önceki yılın aynı dönemine göre Devlet İstatistik Enstitüsünün Toptan Eşya Fiyatları Genel Endeksinde meydana gelen ortalama fiyat artış oranıdır. Bu oran Maliye Bakanlığınca Resmî Gazete ile ilân edilir.</w:t>
      </w:r>
    </w:p>
    <w:p w:rsidR="00BC1471" w:rsidRPr="00580DCC" w:rsidRDefault="00BC1471" w:rsidP="00BC1471">
      <w:pPr>
        <w:rPr>
          <w:rFonts w:ascii="Arial" w:hAnsi="Arial" w:cs="Arial"/>
        </w:rPr>
      </w:pPr>
      <w:r w:rsidRPr="00580DCC">
        <w:rPr>
          <w:rFonts w:ascii="Arial" w:hAnsi="Arial" w:cs="Arial"/>
        </w:rPr>
        <w:tab/>
        <w:t xml:space="preserve">Maddenin ilgili kısımlarını yukarıya aldım. Bu kısımların incelenmesinden görüleceği üzere enflasyon düzeltmesi yapılabilmesi için belirli şartlar bulunmaktadır. </w:t>
      </w:r>
    </w:p>
    <w:p w:rsidR="00BC1471" w:rsidRPr="00580DCC" w:rsidRDefault="00BC1471" w:rsidP="00BC1471">
      <w:pPr>
        <w:ind w:firstLine="708"/>
        <w:rPr>
          <w:rFonts w:ascii="Arial" w:hAnsi="Arial" w:cs="Arial"/>
        </w:rPr>
      </w:pPr>
      <w:r w:rsidRPr="00AE6D10">
        <w:rPr>
          <w:rFonts w:ascii="Arial" w:hAnsi="Arial" w:cs="Arial"/>
          <w:b/>
        </w:rPr>
        <w:t>Son üç yıllık enflasyon toplamının %100 ü aşması ve yıllık %10 enflasyon olması ve bu iki şartın birlikte gerçekleşmesi</w:t>
      </w:r>
      <w:r w:rsidRPr="00580DCC">
        <w:rPr>
          <w:rFonts w:ascii="Arial" w:hAnsi="Arial" w:cs="Arial"/>
        </w:rPr>
        <w:t>.</w:t>
      </w:r>
    </w:p>
    <w:p w:rsidR="00BC1471" w:rsidRPr="00580DCC" w:rsidRDefault="00BC1471" w:rsidP="00A9768E">
      <w:pPr>
        <w:rPr>
          <w:rFonts w:ascii="Arial" w:hAnsi="Arial" w:cs="Arial"/>
        </w:rPr>
      </w:pPr>
      <w:r w:rsidRPr="00580DCC">
        <w:rPr>
          <w:rFonts w:ascii="Arial" w:hAnsi="Arial" w:cs="Arial"/>
        </w:rPr>
        <w:tab/>
        <w:t xml:space="preserve">Ayrıca yeniden değerleme oranı da her yıl </w:t>
      </w:r>
      <w:proofErr w:type="spellStart"/>
      <w:r w:rsidRPr="00580DCC">
        <w:rPr>
          <w:rFonts w:ascii="Arial" w:hAnsi="Arial" w:cs="Arial"/>
        </w:rPr>
        <w:t>tesbit</w:t>
      </w:r>
      <w:proofErr w:type="spellEnd"/>
      <w:r w:rsidRPr="00580DCC">
        <w:rPr>
          <w:rFonts w:ascii="Arial" w:hAnsi="Arial" w:cs="Arial"/>
        </w:rPr>
        <w:t xml:space="preserve"> edilip yayımlanacaktır. </w:t>
      </w:r>
    </w:p>
    <w:p w:rsidR="00BC1471" w:rsidRPr="00580DCC" w:rsidRDefault="00BC1471" w:rsidP="00A9768E">
      <w:pPr>
        <w:rPr>
          <w:rFonts w:ascii="Arial" w:hAnsi="Arial" w:cs="Arial"/>
        </w:rPr>
      </w:pPr>
      <w:r w:rsidRPr="00580DCC">
        <w:rPr>
          <w:rFonts w:ascii="Arial" w:hAnsi="Arial" w:cs="Arial"/>
        </w:rPr>
        <w:tab/>
        <w:t xml:space="preserve">Son enflasyon düzeltmesi sırasında ve düzeltme yapıldıktan sonra Yıllar itibariyle yeniden değerleme oranı ne olmuştur? Aşağıdaki tabloda bunu görelim. </w:t>
      </w:r>
    </w:p>
    <w:p w:rsidR="00FE1BC3" w:rsidRPr="00580DCC" w:rsidRDefault="00FE1BC3">
      <w:pPr>
        <w:rPr>
          <w:rFonts w:ascii="Arial" w:hAnsi="Arial" w:cs="Arial"/>
        </w:rPr>
      </w:pPr>
    </w:p>
    <w:tbl>
      <w:tblPr>
        <w:tblW w:w="8520" w:type="dxa"/>
        <w:jc w:val="center"/>
        <w:tblCellMar>
          <w:top w:w="15" w:type="dxa"/>
          <w:left w:w="15" w:type="dxa"/>
          <w:bottom w:w="15" w:type="dxa"/>
          <w:right w:w="15" w:type="dxa"/>
        </w:tblCellMar>
        <w:tblLook w:val="04A0" w:firstRow="1" w:lastRow="0" w:firstColumn="1" w:lastColumn="0" w:noHBand="0" w:noVBand="1"/>
      </w:tblPr>
      <w:tblGrid>
        <w:gridCol w:w="6698"/>
        <w:gridCol w:w="1822"/>
      </w:tblGrid>
      <w:tr w:rsidR="00BC1471"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tcPr>
          <w:p w:rsidR="00BC1471" w:rsidRPr="00580DCC" w:rsidRDefault="00BC1471"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xml:space="preserve">2013 yılı yeniden değerleme oranı </w:t>
            </w:r>
          </w:p>
        </w:tc>
        <w:tc>
          <w:tcPr>
            <w:tcW w:w="1822" w:type="dxa"/>
            <w:tcBorders>
              <w:top w:val="single" w:sz="6" w:space="0" w:color="FFCC00"/>
              <w:left w:val="single" w:sz="6" w:space="0" w:color="FFCC00"/>
              <w:bottom w:val="single" w:sz="6" w:space="0" w:color="FFCC00"/>
              <w:right w:val="single" w:sz="6" w:space="0" w:color="FFCC00"/>
            </w:tcBorders>
            <w:vAlign w:val="center"/>
          </w:tcPr>
          <w:p w:rsidR="00BC1471" w:rsidRPr="00580DCC" w:rsidRDefault="00BC1471"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%3,93</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2012 yılı yeniden değerleme oranı (</w:t>
            </w:r>
            <w:hyperlink r:id="rId6" w:history="1">
              <w:r w:rsidRPr="00580DCC">
                <w:rPr>
                  <w:rFonts w:ascii="Arial" w:eastAsia="Times New Roman" w:hAnsi="Arial" w:cs="Arial"/>
                  <w:lang w:eastAsia="tr-TR"/>
                </w:rPr>
                <w:t>VUK genel tebliği No:419)</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7,80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2011 yılı yeniden değerleme oranı (</w:t>
            </w:r>
            <w:hyperlink r:id="rId7" w:history="1">
              <w:r w:rsidRPr="00580DCC">
                <w:rPr>
                  <w:rFonts w:ascii="Arial" w:eastAsia="Times New Roman" w:hAnsi="Arial" w:cs="Arial"/>
                  <w:lang w:eastAsia="tr-TR"/>
                </w:rPr>
                <w:t>VUK genel tebliği No:410)</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10,26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2010 yılı yeniden değerleme oranı (</w:t>
            </w:r>
            <w:hyperlink r:id="rId8" w:history="1">
              <w:r w:rsidRPr="00580DCC">
                <w:rPr>
                  <w:rFonts w:ascii="Arial" w:eastAsia="Times New Roman" w:hAnsi="Arial" w:cs="Arial"/>
                  <w:lang w:eastAsia="tr-TR"/>
                </w:rPr>
                <w:t>VUK genel tebliği No:401)</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7,7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2009 yılı yeniden değerleme oranı (</w:t>
            </w:r>
            <w:hyperlink r:id="rId9" w:history="1">
              <w:r w:rsidRPr="00580DCC">
                <w:rPr>
                  <w:rFonts w:ascii="Arial" w:eastAsia="Times New Roman" w:hAnsi="Arial" w:cs="Arial"/>
                  <w:lang w:eastAsia="tr-TR"/>
                </w:rPr>
                <w:t>VUK genel tebliği No:392)</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2,2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2008 yılı yeniden değerleme oranı (</w:t>
            </w:r>
            <w:hyperlink r:id="rId10" w:history="1">
              <w:r w:rsidRPr="00580DCC">
                <w:rPr>
                  <w:rFonts w:ascii="Arial" w:eastAsia="Times New Roman" w:hAnsi="Arial" w:cs="Arial"/>
                  <w:lang w:eastAsia="tr-TR"/>
                </w:rPr>
                <w:t>VUK genel tebliği No:388)</w:t>
              </w:r>
            </w:hyperlink>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12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2007 yılı yeniden değerleme oranı (</w:t>
            </w:r>
            <w:hyperlink r:id="rId11" w:history="1">
              <w:r w:rsidRPr="00580DCC">
                <w:rPr>
                  <w:rFonts w:ascii="Arial" w:eastAsia="Times New Roman" w:hAnsi="Arial" w:cs="Arial"/>
                  <w:lang w:eastAsia="tr-TR"/>
                </w:rPr>
                <w:t>VUK genel tebliği No:377</w:t>
              </w:r>
            </w:hyperlink>
            <w:r w:rsidRPr="00580DCC">
              <w:rPr>
                <w:rFonts w:ascii="Arial" w:eastAsia="Times New Roman" w:hAnsi="Arial" w:cs="Arial"/>
                <w:lang w:eastAsia="tr-TR"/>
              </w:rPr>
              <w:t>)</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7.2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2006 yılı yeniden değerleme oranı (</w:t>
            </w:r>
            <w:hyperlink r:id="rId12" w:history="1">
              <w:r w:rsidRPr="00580DCC">
                <w:rPr>
                  <w:rFonts w:ascii="Arial" w:eastAsia="Times New Roman" w:hAnsi="Arial" w:cs="Arial"/>
                  <w:lang w:eastAsia="tr-TR"/>
                </w:rPr>
                <w:t>VUK genel tebliği No:363</w:t>
              </w:r>
            </w:hyperlink>
            <w:r w:rsidRPr="00580DCC">
              <w:rPr>
                <w:rFonts w:ascii="Arial" w:eastAsia="Times New Roman" w:hAnsi="Arial" w:cs="Arial"/>
                <w:lang w:eastAsia="tr-TR"/>
              </w:rPr>
              <w:t>)</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7.8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2005 yılı yeniden değerleme oranı (</w:t>
            </w:r>
            <w:hyperlink r:id="rId13" w:history="1">
              <w:r w:rsidRPr="00580DCC">
                <w:rPr>
                  <w:rFonts w:ascii="Arial" w:eastAsia="Times New Roman" w:hAnsi="Arial" w:cs="Arial"/>
                  <w:lang w:eastAsia="tr-TR"/>
                </w:rPr>
                <w:t>VUK genel tebliği No:353</w:t>
              </w:r>
            </w:hyperlink>
            <w:r w:rsidRPr="00580DCC">
              <w:rPr>
                <w:rFonts w:ascii="Arial" w:eastAsia="Times New Roman" w:hAnsi="Arial" w:cs="Arial"/>
                <w:lang w:eastAsia="tr-TR"/>
              </w:rPr>
              <w:t>)</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9.8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2004 yılı yeniden değerleme oranı (VUK genel tebliği No:341)</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11.2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2003 yılı yeniden değerleme oranı (VUK genel tebliği No:325)</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28.5 </w:t>
            </w:r>
          </w:p>
        </w:tc>
      </w:tr>
      <w:tr w:rsidR="0036526B" w:rsidRPr="00580DCC" w:rsidTr="0036526B">
        <w:trPr>
          <w:trHeight w:val="375"/>
          <w:jc w:val="center"/>
        </w:trPr>
        <w:tc>
          <w:tcPr>
            <w:tcW w:w="6698"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xml:space="preserve">2002 yılı yeniden değerleme oranı (VUK genel tebliği No:310) </w:t>
            </w:r>
          </w:p>
        </w:tc>
        <w:tc>
          <w:tcPr>
            <w:tcW w:w="1822" w:type="dxa"/>
            <w:tcBorders>
              <w:top w:val="single" w:sz="6" w:space="0" w:color="FFCC00"/>
              <w:left w:val="single" w:sz="6" w:space="0" w:color="FFCC00"/>
              <w:bottom w:val="single" w:sz="6" w:space="0" w:color="FFCC00"/>
              <w:right w:val="single" w:sz="6" w:space="0" w:color="FFCC00"/>
            </w:tcBorders>
            <w:vAlign w:val="center"/>
            <w:hideMark/>
          </w:tcPr>
          <w:p w:rsidR="0036526B" w:rsidRPr="00580DCC" w:rsidRDefault="0036526B" w:rsidP="00580DCC">
            <w:pPr>
              <w:spacing w:before="100" w:beforeAutospacing="1" w:after="100" w:afterAutospacing="1" w:line="240" w:lineRule="auto"/>
              <w:jc w:val="right"/>
              <w:rPr>
                <w:rFonts w:ascii="Arial" w:eastAsia="Times New Roman" w:hAnsi="Arial" w:cs="Arial"/>
                <w:lang w:eastAsia="tr-TR"/>
              </w:rPr>
            </w:pPr>
            <w:r w:rsidRPr="00580DCC">
              <w:rPr>
                <w:rFonts w:ascii="Arial" w:eastAsia="Times New Roman" w:hAnsi="Arial" w:cs="Arial"/>
                <w:lang w:eastAsia="tr-TR"/>
              </w:rPr>
              <w:t xml:space="preserve">% 59.0 </w:t>
            </w:r>
          </w:p>
        </w:tc>
      </w:tr>
    </w:tbl>
    <w:p w:rsidR="0036526B" w:rsidRPr="00580DCC" w:rsidRDefault="0036526B">
      <w:pPr>
        <w:rPr>
          <w:rFonts w:ascii="Arial" w:hAnsi="Arial" w:cs="Arial"/>
          <w:bCs/>
        </w:rPr>
      </w:pPr>
    </w:p>
    <w:p w:rsidR="00BC1471" w:rsidRPr="00580DCC" w:rsidRDefault="00BC1471">
      <w:pPr>
        <w:rPr>
          <w:rFonts w:ascii="Arial" w:hAnsi="Arial" w:cs="Arial"/>
          <w:bCs/>
        </w:rPr>
      </w:pPr>
      <w:r w:rsidRPr="00580DCC">
        <w:rPr>
          <w:rFonts w:ascii="Arial" w:hAnsi="Arial" w:cs="Arial"/>
          <w:bCs/>
        </w:rPr>
        <w:tab/>
        <w:t xml:space="preserve">Yeniden değerleme oranlarını yıllar itibariyle </w:t>
      </w:r>
      <w:r w:rsidR="00AE6D10">
        <w:rPr>
          <w:rFonts w:ascii="Arial" w:hAnsi="Arial" w:cs="Arial"/>
          <w:bCs/>
        </w:rPr>
        <w:t xml:space="preserve">geometrik dizi </w:t>
      </w:r>
      <w:r w:rsidRPr="00580DCC">
        <w:rPr>
          <w:rFonts w:ascii="Arial" w:hAnsi="Arial" w:cs="Arial"/>
          <w:bCs/>
        </w:rPr>
        <w:t xml:space="preserve">artış etkisini bir tarafa bırakarak topladığımızda dahi %68,69 gibi bir orana ulaşıyoruz. Öyle ise bir de yıllar itibariyle tüfe ve tefe enflasyonlarını görelim. </w:t>
      </w:r>
    </w:p>
    <w:p w:rsidR="00BC1471" w:rsidRPr="00580DCC" w:rsidRDefault="00BC1471">
      <w:pPr>
        <w:rPr>
          <w:rFonts w:ascii="Arial" w:hAnsi="Arial" w:cs="Arial"/>
          <w:bCs/>
        </w:rPr>
      </w:pPr>
      <w:r w:rsidRPr="00580DCC">
        <w:rPr>
          <w:rFonts w:ascii="Arial" w:hAnsi="Arial" w:cs="Arial"/>
          <w:bCs/>
        </w:rPr>
        <w:tab/>
        <w:t xml:space="preserve">Tüfe endeks rakamları 2003 yılında 100 olarak yeniden </w:t>
      </w:r>
      <w:proofErr w:type="spellStart"/>
      <w:r w:rsidRPr="00580DCC">
        <w:rPr>
          <w:rFonts w:ascii="Arial" w:hAnsi="Arial" w:cs="Arial"/>
          <w:bCs/>
        </w:rPr>
        <w:t>tesbit</w:t>
      </w:r>
      <w:proofErr w:type="spellEnd"/>
      <w:r w:rsidRPr="00580DCC">
        <w:rPr>
          <w:rFonts w:ascii="Arial" w:hAnsi="Arial" w:cs="Arial"/>
          <w:bCs/>
        </w:rPr>
        <w:t xml:space="preserve"> edilmiştir. </w:t>
      </w:r>
    </w:p>
    <w:p w:rsidR="0036526B" w:rsidRDefault="0036526B">
      <w:pPr>
        <w:rPr>
          <w:rFonts w:ascii="Arial" w:hAnsi="Arial" w:cs="Arial"/>
        </w:rPr>
      </w:pPr>
    </w:p>
    <w:p w:rsidR="00AE6D10" w:rsidRDefault="00AE6D10">
      <w:pPr>
        <w:rPr>
          <w:rFonts w:ascii="Arial" w:hAnsi="Arial" w:cs="Arial"/>
        </w:rPr>
      </w:pPr>
    </w:p>
    <w:p w:rsidR="00AE6D10" w:rsidRPr="00580DCC" w:rsidRDefault="00AE6D10">
      <w:pPr>
        <w:rPr>
          <w:rFonts w:ascii="Arial" w:hAnsi="Arial" w:cs="Arial"/>
        </w:rPr>
      </w:pPr>
    </w:p>
    <w:tbl>
      <w:tblPr>
        <w:tblW w:w="13667" w:type="dxa"/>
        <w:tblCellMar>
          <w:left w:w="70" w:type="dxa"/>
          <w:right w:w="70" w:type="dxa"/>
        </w:tblCellMar>
        <w:tblLook w:val="04A0" w:firstRow="1" w:lastRow="0" w:firstColumn="1" w:lastColumn="0" w:noHBand="0" w:noVBand="1"/>
      </w:tblPr>
      <w:tblGrid>
        <w:gridCol w:w="649"/>
        <w:gridCol w:w="1010"/>
        <w:gridCol w:w="1131"/>
        <w:gridCol w:w="875"/>
        <w:gridCol w:w="875"/>
        <w:gridCol w:w="1815"/>
        <w:gridCol w:w="202"/>
        <w:gridCol w:w="960"/>
        <w:gridCol w:w="960"/>
        <w:gridCol w:w="960"/>
        <w:gridCol w:w="960"/>
        <w:gridCol w:w="960"/>
        <w:gridCol w:w="1155"/>
        <w:gridCol w:w="1155"/>
      </w:tblGrid>
      <w:tr w:rsidR="00E24055" w:rsidRPr="00580DCC" w:rsidTr="00E24055">
        <w:trPr>
          <w:trHeight w:val="240"/>
        </w:trPr>
        <w:tc>
          <w:tcPr>
            <w:tcW w:w="4540" w:type="dxa"/>
            <w:gridSpan w:val="5"/>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bCs/>
                <w:lang w:eastAsia="tr-TR"/>
              </w:rPr>
            </w:pPr>
            <w:r w:rsidRPr="00580DCC">
              <w:rPr>
                <w:rFonts w:ascii="Arial" w:eastAsia="Times New Roman" w:hAnsi="Arial" w:cs="Arial"/>
                <w:bCs/>
                <w:lang w:eastAsia="tr-TR"/>
              </w:rPr>
              <w:lastRenderedPageBreak/>
              <w:t>Tüketici Fiyatları Endeks Rakamları (2003=100)</w:t>
            </w: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 xml:space="preserve">Üretici fiyat endeks rakamları </w:t>
            </w:r>
          </w:p>
        </w:tc>
        <w:tc>
          <w:tcPr>
            <w:tcW w:w="202"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r>
      <w:tr w:rsidR="00E24055" w:rsidRPr="00580DCC" w:rsidTr="00E24055">
        <w:trPr>
          <w:trHeight w:val="255"/>
        </w:trPr>
        <w:tc>
          <w:tcPr>
            <w:tcW w:w="4540" w:type="dxa"/>
            <w:gridSpan w:val="5"/>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p>
        </w:tc>
        <w:tc>
          <w:tcPr>
            <w:tcW w:w="202"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96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r>
      <w:tr w:rsidR="00E24055" w:rsidRPr="00580DCC" w:rsidTr="00E24055">
        <w:trPr>
          <w:trHeight w:val="240"/>
        </w:trPr>
        <w:tc>
          <w:tcPr>
            <w:tcW w:w="649" w:type="dxa"/>
            <w:tcBorders>
              <w:top w:val="single" w:sz="8" w:space="0" w:color="auto"/>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c>
          <w:tcPr>
            <w:tcW w:w="1010" w:type="dxa"/>
            <w:tcBorders>
              <w:top w:val="single" w:sz="8" w:space="0" w:color="auto"/>
              <w:left w:val="nil"/>
              <w:bottom w:val="nil"/>
              <w:right w:val="nil"/>
            </w:tcBorders>
            <w:shd w:val="clear" w:color="000000" w:fill="FFFFFF"/>
            <w:noWrap/>
            <w:vAlign w:val="bottom"/>
            <w:hideMark/>
          </w:tcPr>
          <w:p w:rsidR="00E24055" w:rsidRPr="00580DCC" w:rsidRDefault="00E24055" w:rsidP="0036526B">
            <w:pPr>
              <w:spacing w:after="0" w:line="240" w:lineRule="auto"/>
              <w:jc w:val="right"/>
              <w:rPr>
                <w:rFonts w:ascii="Arial" w:eastAsia="Times New Roman" w:hAnsi="Arial" w:cs="Arial"/>
                <w:bCs/>
                <w:lang w:eastAsia="tr-TR"/>
              </w:rPr>
            </w:pPr>
            <w:r w:rsidRPr="00580DCC">
              <w:rPr>
                <w:rFonts w:ascii="Arial" w:eastAsia="Times New Roman" w:hAnsi="Arial" w:cs="Arial"/>
                <w:bCs/>
                <w:lang w:eastAsia="tr-TR"/>
              </w:rPr>
              <w:t>Ocak</w:t>
            </w:r>
          </w:p>
        </w:tc>
        <w:tc>
          <w:tcPr>
            <w:tcW w:w="1131" w:type="dxa"/>
            <w:tcBorders>
              <w:top w:val="single" w:sz="8" w:space="0" w:color="auto"/>
              <w:left w:val="nil"/>
              <w:bottom w:val="nil"/>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bCs/>
                <w:lang w:eastAsia="tr-TR"/>
              </w:rPr>
            </w:pPr>
          </w:p>
        </w:tc>
        <w:tc>
          <w:tcPr>
            <w:tcW w:w="875" w:type="dxa"/>
            <w:tcBorders>
              <w:top w:val="single" w:sz="8" w:space="0" w:color="auto"/>
              <w:left w:val="nil"/>
              <w:bottom w:val="nil"/>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bCs/>
                <w:lang w:eastAsia="tr-TR"/>
              </w:rPr>
            </w:pPr>
          </w:p>
        </w:tc>
        <w:tc>
          <w:tcPr>
            <w:tcW w:w="875" w:type="dxa"/>
            <w:tcBorders>
              <w:top w:val="single" w:sz="8" w:space="0" w:color="auto"/>
              <w:left w:val="nil"/>
              <w:bottom w:val="nil"/>
              <w:right w:val="nil"/>
            </w:tcBorders>
            <w:shd w:val="clear" w:color="000000" w:fill="FFFFFF"/>
            <w:noWrap/>
            <w:vAlign w:val="bottom"/>
          </w:tcPr>
          <w:p w:rsidR="00E24055" w:rsidRPr="00580DCC" w:rsidRDefault="00AE6D10" w:rsidP="0036526B">
            <w:pPr>
              <w:spacing w:after="0" w:line="240" w:lineRule="auto"/>
              <w:jc w:val="right"/>
              <w:rPr>
                <w:rFonts w:ascii="Arial" w:eastAsia="Times New Roman" w:hAnsi="Arial" w:cs="Arial"/>
                <w:bCs/>
                <w:lang w:eastAsia="tr-TR"/>
              </w:rPr>
            </w:pPr>
            <w:r>
              <w:rPr>
                <w:rFonts w:ascii="Arial" w:eastAsia="Times New Roman" w:hAnsi="Arial" w:cs="Arial"/>
                <w:bCs/>
                <w:lang w:eastAsia="tr-TR"/>
              </w:rPr>
              <w:t>Ocak</w:t>
            </w:r>
          </w:p>
        </w:tc>
        <w:tc>
          <w:tcPr>
            <w:tcW w:w="1815" w:type="dxa"/>
            <w:tcBorders>
              <w:top w:val="single" w:sz="8" w:space="0" w:color="auto"/>
              <w:left w:val="nil"/>
              <w:bottom w:val="nil"/>
              <w:right w:val="nil"/>
            </w:tcBorders>
            <w:shd w:val="clear" w:color="000000" w:fill="FFFFFF"/>
          </w:tcPr>
          <w:p w:rsidR="00E24055" w:rsidRPr="00580DCC" w:rsidRDefault="00E24055" w:rsidP="0036526B">
            <w:pPr>
              <w:spacing w:after="0" w:line="240" w:lineRule="auto"/>
              <w:jc w:val="right"/>
              <w:rPr>
                <w:rFonts w:ascii="Arial" w:eastAsia="Times New Roman" w:hAnsi="Arial" w:cs="Arial"/>
                <w:bCs/>
                <w:lang w:eastAsia="tr-TR"/>
              </w:rPr>
            </w:pPr>
          </w:p>
        </w:tc>
        <w:tc>
          <w:tcPr>
            <w:tcW w:w="202" w:type="dxa"/>
            <w:tcBorders>
              <w:top w:val="single" w:sz="8" w:space="0" w:color="auto"/>
              <w:left w:val="nil"/>
              <w:bottom w:val="nil"/>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bCs/>
                <w:lang w:eastAsia="tr-TR"/>
              </w:rPr>
            </w:pPr>
          </w:p>
        </w:tc>
        <w:tc>
          <w:tcPr>
            <w:tcW w:w="960" w:type="dxa"/>
            <w:tcBorders>
              <w:top w:val="single" w:sz="8" w:space="0" w:color="auto"/>
              <w:left w:val="nil"/>
              <w:bottom w:val="nil"/>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bCs/>
                <w:lang w:eastAsia="tr-TR"/>
              </w:rPr>
            </w:pPr>
          </w:p>
        </w:tc>
        <w:tc>
          <w:tcPr>
            <w:tcW w:w="960" w:type="dxa"/>
            <w:tcBorders>
              <w:top w:val="single" w:sz="8" w:space="0" w:color="auto"/>
              <w:left w:val="nil"/>
              <w:bottom w:val="nil"/>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bCs/>
                <w:lang w:eastAsia="tr-TR"/>
              </w:rPr>
            </w:pPr>
          </w:p>
        </w:tc>
        <w:tc>
          <w:tcPr>
            <w:tcW w:w="960" w:type="dxa"/>
            <w:tcBorders>
              <w:top w:val="single" w:sz="8" w:space="0" w:color="auto"/>
              <w:left w:val="nil"/>
              <w:bottom w:val="nil"/>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bCs/>
                <w:lang w:eastAsia="tr-TR"/>
              </w:rPr>
            </w:pPr>
          </w:p>
        </w:tc>
        <w:tc>
          <w:tcPr>
            <w:tcW w:w="960" w:type="dxa"/>
            <w:tcBorders>
              <w:top w:val="single" w:sz="8" w:space="0" w:color="auto"/>
              <w:left w:val="nil"/>
              <w:bottom w:val="nil"/>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bCs/>
                <w:lang w:eastAsia="tr-TR"/>
              </w:rPr>
            </w:pPr>
          </w:p>
        </w:tc>
        <w:tc>
          <w:tcPr>
            <w:tcW w:w="960" w:type="dxa"/>
            <w:tcBorders>
              <w:top w:val="single" w:sz="8" w:space="0" w:color="auto"/>
              <w:left w:val="nil"/>
              <w:bottom w:val="nil"/>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bCs/>
                <w:lang w:eastAsia="tr-TR"/>
              </w:rPr>
            </w:pPr>
          </w:p>
        </w:tc>
        <w:tc>
          <w:tcPr>
            <w:tcW w:w="1155" w:type="dxa"/>
            <w:tcBorders>
              <w:top w:val="single" w:sz="8" w:space="0" w:color="auto"/>
              <w:left w:val="nil"/>
              <w:bottom w:val="nil"/>
              <w:right w:val="nil"/>
            </w:tcBorders>
            <w:shd w:val="clear" w:color="000000" w:fill="FFFFFF"/>
            <w:noWrap/>
            <w:vAlign w:val="bottom"/>
            <w:hideMark/>
          </w:tcPr>
          <w:p w:rsidR="00E24055" w:rsidRPr="00580DCC" w:rsidRDefault="00E24055" w:rsidP="0036526B">
            <w:pPr>
              <w:spacing w:after="0" w:line="240" w:lineRule="auto"/>
              <w:jc w:val="right"/>
              <w:rPr>
                <w:rFonts w:ascii="Arial" w:eastAsia="Times New Roman" w:hAnsi="Arial" w:cs="Arial"/>
                <w:bCs/>
                <w:lang w:eastAsia="tr-TR"/>
              </w:rPr>
            </w:pPr>
            <w:r w:rsidRPr="00580DCC">
              <w:rPr>
                <w:rFonts w:ascii="Arial" w:eastAsia="Times New Roman" w:hAnsi="Arial" w:cs="Arial"/>
                <w:bCs/>
                <w:lang w:eastAsia="tr-TR"/>
              </w:rPr>
              <w:t>Kasım</w:t>
            </w:r>
          </w:p>
        </w:tc>
        <w:tc>
          <w:tcPr>
            <w:tcW w:w="1155" w:type="dxa"/>
            <w:tcBorders>
              <w:top w:val="single" w:sz="8" w:space="0" w:color="auto"/>
              <w:left w:val="nil"/>
              <w:bottom w:val="nil"/>
              <w:right w:val="nil"/>
            </w:tcBorders>
            <w:shd w:val="clear" w:color="000000" w:fill="FFFFFF"/>
            <w:noWrap/>
            <w:vAlign w:val="bottom"/>
            <w:hideMark/>
          </w:tcPr>
          <w:p w:rsidR="00E24055" w:rsidRPr="00580DCC" w:rsidRDefault="00E24055" w:rsidP="0036526B">
            <w:pPr>
              <w:spacing w:after="0" w:line="240" w:lineRule="auto"/>
              <w:jc w:val="right"/>
              <w:rPr>
                <w:rFonts w:ascii="Arial" w:eastAsia="Times New Roman" w:hAnsi="Arial" w:cs="Arial"/>
                <w:bCs/>
                <w:lang w:eastAsia="tr-TR"/>
              </w:rPr>
            </w:pPr>
            <w:r w:rsidRPr="00580DCC">
              <w:rPr>
                <w:rFonts w:ascii="Arial" w:eastAsia="Times New Roman" w:hAnsi="Arial" w:cs="Arial"/>
                <w:bCs/>
                <w:lang w:eastAsia="tr-TR"/>
              </w:rPr>
              <w:t>Aralık</w:t>
            </w:r>
          </w:p>
        </w:tc>
      </w:tr>
      <w:tr w:rsidR="00E24055" w:rsidRPr="00580DCC" w:rsidTr="00E24055">
        <w:trPr>
          <w:trHeight w:val="240"/>
        </w:trPr>
        <w:tc>
          <w:tcPr>
            <w:tcW w:w="649" w:type="dxa"/>
            <w:tcBorders>
              <w:top w:val="nil"/>
              <w:left w:val="nil"/>
              <w:bottom w:val="single" w:sz="4" w:space="0" w:color="auto"/>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 </w:t>
            </w:r>
          </w:p>
        </w:tc>
        <w:tc>
          <w:tcPr>
            <w:tcW w:w="1010" w:type="dxa"/>
            <w:tcBorders>
              <w:top w:val="nil"/>
              <w:left w:val="nil"/>
              <w:bottom w:val="single" w:sz="4" w:space="0" w:color="auto"/>
              <w:right w:val="nil"/>
            </w:tcBorders>
            <w:shd w:val="clear" w:color="000000" w:fill="FFFFFF"/>
            <w:noWrap/>
            <w:vAlign w:val="bottom"/>
            <w:hideMark/>
          </w:tcPr>
          <w:p w:rsidR="00E24055" w:rsidRPr="00580DCC" w:rsidRDefault="00E24055" w:rsidP="0036526B">
            <w:pPr>
              <w:spacing w:after="0" w:line="240" w:lineRule="auto"/>
              <w:jc w:val="right"/>
              <w:rPr>
                <w:rFonts w:ascii="Arial" w:eastAsia="Times New Roman" w:hAnsi="Arial" w:cs="Arial"/>
                <w:lang w:eastAsia="tr-TR"/>
              </w:rPr>
            </w:pPr>
          </w:p>
        </w:tc>
        <w:tc>
          <w:tcPr>
            <w:tcW w:w="1131"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875"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875"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1815" w:type="dxa"/>
            <w:tcBorders>
              <w:top w:val="nil"/>
              <w:left w:val="nil"/>
              <w:bottom w:val="single" w:sz="4" w:space="0" w:color="auto"/>
              <w:right w:val="nil"/>
            </w:tcBorders>
            <w:shd w:val="clear" w:color="000000" w:fill="FFFFFF"/>
          </w:tcPr>
          <w:p w:rsidR="00E24055" w:rsidRPr="00580DCC" w:rsidRDefault="00E24055" w:rsidP="0036526B">
            <w:pPr>
              <w:spacing w:after="0" w:line="240" w:lineRule="auto"/>
              <w:jc w:val="right"/>
              <w:rPr>
                <w:rFonts w:ascii="Arial" w:eastAsia="Times New Roman" w:hAnsi="Arial" w:cs="Arial"/>
                <w:lang w:eastAsia="tr-TR"/>
              </w:rPr>
            </w:pPr>
          </w:p>
        </w:tc>
        <w:tc>
          <w:tcPr>
            <w:tcW w:w="202"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960"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960"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960"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960"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960" w:type="dxa"/>
            <w:tcBorders>
              <w:top w:val="nil"/>
              <w:left w:val="nil"/>
              <w:bottom w:val="single" w:sz="4" w:space="0" w:color="auto"/>
              <w:right w:val="nil"/>
            </w:tcBorders>
            <w:shd w:val="clear" w:color="000000" w:fill="FFFFFF"/>
            <w:noWrap/>
            <w:vAlign w:val="bottom"/>
          </w:tcPr>
          <w:p w:rsidR="00E24055" w:rsidRPr="00580DCC" w:rsidRDefault="00E24055" w:rsidP="0036526B">
            <w:pPr>
              <w:spacing w:after="0" w:line="240" w:lineRule="auto"/>
              <w:jc w:val="right"/>
              <w:rPr>
                <w:rFonts w:ascii="Arial" w:eastAsia="Times New Roman" w:hAnsi="Arial" w:cs="Arial"/>
                <w:lang w:eastAsia="tr-TR"/>
              </w:rPr>
            </w:pPr>
          </w:p>
        </w:tc>
        <w:tc>
          <w:tcPr>
            <w:tcW w:w="1155" w:type="dxa"/>
            <w:tcBorders>
              <w:top w:val="nil"/>
              <w:left w:val="nil"/>
              <w:bottom w:val="single" w:sz="4" w:space="0" w:color="auto"/>
              <w:right w:val="nil"/>
            </w:tcBorders>
            <w:shd w:val="clear" w:color="000000" w:fill="FFFFFF"/>
            <w:noWrap/>
            <w:vAlign w:val="bottom"/>
            <w:hideMark/>
          </w:tcPr>
          <w:p w:rsidR="00E24055" w:rsidRPr="00580DCC" w:rsidRDefault="00E24055" w:rsidP="0036526B">
            <w:pPr>
              <w:spacing w:after="0" w:line="240" w:lineRule="auto"/>
              <w:jc w:val="right"/>
              <w:rPr>
                <w:rFonts w:ascii="Arial" w:eastAsia="Times New Roman" w:hAnsi="Arial" w:cs="Arial"/>
                <w:lang w:eastAsia="tr-TR"/>
              </w:rPr>
            </w:pPr>
            <w:proofErr w:type="spellStart"/>
            <w:r w:rsidRPr="00580DCC">
              <w:rPr>
                <w:rFonts w:ascii="Arial" w:eastAsia="Times New Roman" w:hAnsi="Arial" w:cs="Arial"/>
                <w:lang w:eastAsia="tr-TR"/>
              </w:rPr>
              <w:t>November</w:t>
            </w:r>
            <w:proofErr w:type="spellEnd"/>
          </w:p>
        </w:tc>
        <w:tc>
          <w:tcPr>
            <w:tcW w:w="1155" w:type="dxa"/>
            <w:tcBorders>
              <w:top w:val="nil"/>
              <w:left w:val="nil"/>
              <w:bottom w:val="single" w:sz="4" w:space="0" w:color="auto"/>
              <w:right w:val="nil"/>
            </w:tcBorders>
            <w:shd w:val="clear" w:color="000000" w:fill="FFFFFF"/>
            <w:noWrap/>
            <w:vAlign w:val="bottom"/>
            <w:hideMark/>
          </w:tcPr>
          <w:p w:rsidR="00E24055" w:rsidRPr="00580DCC" w:rsidRDefault="00E24055" w:rsidP="0036526B">
            <w:pPr>
              <w:spacing w:after="0" w:line="240" w:lineRule="auto"/>
              <w:jc w:val="right"/>
              <w:rPr>
                <w:rFonts w:ascii="Arial" w:eastAsia="Times New Roman" w:hAnsi="Arial" w:cs="Arial"/>
                <w:lang w:eastAsia="tr-TR"/>
              </w:rPr>
            </w:pPr>
            <w:proofErr w:type="spellStart"/>
            <w:r w:rsidRPr="00580DCC">
              <w:rPr>
                <w:rFonts w:ascii="Arial" w:eastAsia="Times New Roman" w:hAnsi="Arial" w:cs="Arial"/>
                <w:lang w:eastAsia="tr-TR"/>
              </w:rPr>
              <w:t>December</w:t>
            </w:r>
            <w:proofErr w:type="spellEnd"/>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2003</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94,77</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96,99</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103,68</w:t>
            </w: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104,12</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2004</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104,81</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107,17</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113,86</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2005</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114,49</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118,64</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122,65</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2006</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123,57</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124,70</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134,49</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2007</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135,84</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136,39</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145,77</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2008</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146,94</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145,18</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160,44</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2009</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160,90</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156.65</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170,91</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2010</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174,07</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166,52</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181,85</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2011</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182,60</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184,51</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200,85</w:t>
            </w:r>
          </w:p>
        </w:tc>
      </w:tr>
      <w:tr w:rsidR="00E24055" w:rsidRPr="00580DCC" w:rsidTr="00E24055">
        <w:trPr>
          <w:trHeight w:val="240"/>
        </w:trPr>
        <w:tc>
          <w:tcPr>
            <w:tcW w:w="649"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2012</w:t>
            </w:r>
          </w:p>
        </w:tc>
        <w:tc>
          <w:tcPr>
            <w:tcW w:w="1010"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201,98</w:t>
            </w:r>
          </w:p>
        </w:tc>
        <w:tc>
          <w:tcPr>
            <w:tcW w:w="1131"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nil"/>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205,05</w:t>
            </w:r>
          </w:p>
        </w:tc>
        <w:tc>
          <w:tcPr>
            <w:tcW w:w="202"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nil"/>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213,23</w:t>
            </w:r>
          </w:p>
        </w:tc>
      </w:tr>
      <w:tr w:rsidR="00E24055" w:rsidRPr="00580DCC" w:rsidTr="00E24055">
        <w:trPr>
          <w:trHeight w:val="255"/>
        </w:trPr>
        <w:tc>
          <w:tcPr>
            <w:tcW w:w="649" w:type="dxa"/>
            <w:tcBorders>
              <w:top w:val="nil"/>
              <w:left w:val="nil"/>
              <w:bottom w:val="single" w:sz="8" w:space="0" w:color="auto"/>
              <w:right w:val="nil"/>
            </w:tcBorders>
            <w:shd w:val="clear" w:color="000000" w:fill="FFFFFF"/>
            <w:noWrap/>
            <w:vAlign w:val="bottom"/>
            <w:hideMark/>
          </w:tcPr>
          <w:p w:rsidR="00E24055" w:rsidRPr="00580DCC" w:rsidRDefault="00E24055" w:rsidP="0036526B">
            <w:pPr>
              <w:spacing w:after="0" w:line="240" w:lineRule="auto"/>
              <w:jc w:val="center"/>
              <w:rPr>
                <w:rFonts w:ascii="Arial" w:eastAsia="Times New Roman" w:hAnsi="Arial" w:cs="Arial"/>
                <w:bCs/>
                <w:lang w:eastAsia="tr-TR"/>
              </w:rPr>
            </w:pPr>
            <w:r w:rsidRPr="00580DCC">
              <w:rPr>
                <w:rFonts w:ascii="Arial" w:eastAsia="Times New Roman" w:hAnsi="Arial" w:cs="Arial"/>
                <w:bCs/>
                <w:lang w:eastAsia="tr-TR"/>
              </w:rPr>
              <w:t>2013</w:t>
            </w:r>
          </w:p>
        </w:tc>
        <w:tc>
          <w:tcPr>
            <w:tcW w:w="1010" w:type="dxa"/>
            <w:tcBorders>
              <w:top w:val="nil"/>
              <w:left w:val="nil"/>
              <w:bottom w:val="single" w:sz="8" w:space="0" w:color="auto"/>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216,74</w:t>
            </w:r>
          </w:p>
        </w:tc>
        <w:tc>
          <w:tcPr>
            <w:tcW w:w="1131"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875"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815" w:type="dxa"/>
            <w:tcBorders>
              <w:top w:val="nil"/>
              <w:left w:val="nil"/>
              <w:bottom w:val="single" w:sz="8" w:space="0" w:color="auto"/>
              <w:right w:val="nil"/>
            </w:tcBorders>
            <w:shd w:val="clear" w:color="000000" w:fill="FFFFFF"/>
          </w:tcPr>
          <w:p w:rsidR="00E24055" w:rsidRPr="00580DCC" w:rsidRDefault="00E24055" w:rsidP="0036526B">
            <w:pPr>
              <w:spacing w:after="0" w:line="240" w:lineRule="auto"/>
              <w:rPr>
                <w:rFonts w:ascii="Arial" w:eastAsia="Times New Roman" w:hAnsi="Arial" w:cs="Arial"/>
                <w:lang w:eastAsia="tr-TR"/>
              </w:rPr>
            </w:pPr>
            <w:r>
              <w:rPr>
                <w:rFonts w:ascii="Arial" w:eastAsia="Times New Roman" w:hAnsi="Arial" w:cs="Arial"/>
                <w:lang w:eastAsia="tr-TR"/>
              </w:rPr>
              <w:t>208,90</w:t>
            </w:r>
          </w:p>
        </w:tc>
        <w:tc>
          <w:tcPr>
            <w:tcW w:w="202"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960"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single" w:sz="8" w:space="0" w:color="auto"/>
              <w:right w:val="nil"/>
            </w:tcBorders>
            <w:shd w:val="clear" w:color="000000" w:fill="FFFFFF"/>
            <w:noWrap/>
            <w:vAlign w:val="bottom"/>
          </w:tcPr>
          <w:p w:rsidR="00E24055" w:rsidRPr="00580DCC" w:rsidRDefault="00E24055" w:rsidP="0036526B">
            <w:pPr>
              <w:spacing w:after="0" w:line="240" w:lineRule="auto"/>
              <w:rPr>
                <w:rFonts w:ascii="Arial" w:eastAsia="Times New Roman" w:hAnsi="Arial" w:cs="Arial"/>
                <w:lang w:eastAsia="tr-TR"/>
              </w:rPr>
            </w:pPr>
          </w:p>
        </w:tc>
        <w:tc>
          <w:tcPr>
            <w:tcW w:w="1155" w:type="dxa"/>
            <w:tcBorders>
              <w:top w:val="nil"/>
              <w:left w:val="nil"/>
              <w:bottom w:val="single" w:sz="8" w:space="0" w:color="auto"/>
              <w:right w:val="nil"/>
            </w:tcBorders>
            <w:shd w:val="clear" w:color="000000" w:fill="FFFFFF"/>
            <w:noWrap/>
            <w:vAlign w:val="bottom"/>
            <w:hideMark/>
          </w:tcPr>
          <w:p w:rsidR="00E24055" w:rsidRPr="00580DCC" w:rsidRDefault="00E24055" w:rsidP="0036526B">
            <w:pPr>
              <w:spacing w:after="0" w:line="240" w:lineRule="auto"/>
              <w:rPr>
                <w:rFonts w:ascii="Arial" w:eastAsia="Times New Roman" w:hAnsi="Arial" w:cs="Arial"/>
                <w:lang w:eastAsia="tr-TR"/>
              </w:rPr>
            </w:pPr>
            <w:r w:rsidRPr="00580DCC">
              <w:rPr>
                <w:rFonts w:ascii="Arial" w:eastAsia="Times New Roman" w:hAnsi="Arial" w:cs="Arial"/>
                <w:lang w:eastAsia="tr-TR"/>
              </w:rPr>
              <w:t> </w:t>
            </w:r>
          </w:p>
        </w:tc>
      </w:tr>
    </w:tbl>
    <w:p w:rsidR="0036526B" w:rsidRDefault="00BC1471">
      <w:pPr>
        <w:rPr>
          <w:rFonts w:ascii="Arial" w:hAnsi="Arial" w:cs="Arial"/>
        </w:rPr>
      </w:pPr>
      <w:proofErr w:type="gramStart"/>
      <w:r w:rsidRPr="00580DCC">
        <w:rPr>
          <w:rFonts w:ascii="Arial" w:hAnsi="Arial" w:cs="Arial"/>
        </w:rPr>
        <w:t xml:space="preserve">2013  </w:t>
      </w:r>
      <w:r w:rsidR="00E24055">
        <w:rPr>
          <w:rFonts w:ascii="Arial" w:hAnsi="Arial" w:cs="Arial"/>
        </w:rPr>
        <w:t xml:space="preserve">  227</w:t>
      </w:r>
      <w:proofErr w:type="gramEnd"/>
      <w:r w:rsidR="00E24055">
        <w:rPr>
          <w:rFonts w:ascii="Arial" w:hAnsi="Arial" w:cs="Arial"/>
        </w:rPr>
        <w:t xml:space="preserve">,94  </w:t>
      </w:r>
      <w:r w:rsidRPr="00580DCC">
        <w:rPr>
          <w:rFonts w:ascii="Arial" w:hAnsi="Arial" w:cs="Arial"/>
        </w:rPr>
        <w:t>Ekim  gösterge rakamı</w:t>
      </w:r>
      <w:r w:rsidR="00E24055">
        <w:rPr>
          <w:rFonts w:ascii="Arial" w:hAnsi="Arial" w:cs="Arial"/>
        </w:rPr>
        <w:t xml:space="preserve">       </w:t>
      </w:r>
      <w:r w:rsidRPr="00580DCC">
        <w:rPr>
          <w:rFonts w:ascii="Arial" w:hAnsi="Arial" w:cs="Arial"/>
        </w:rPr>
        <w:t xml:space="preserve"> </w:t>
      </w:r>
      <w:r w:rsidR="00E24055">
        <w:rPr>
          <w:rFonts w:ascii="Arial" w:hAnsi="Arial" w:cs="Arial"/>
        </w:rPr>
        <w:t xml:space="preserve">     220,06</w:t>
      </w:r>
      <w:r w:rsidR="00E24055">
        <w:rPr>
          <w:rFonts w:ascii="Arial" w:hAnsi="Arial" w:cs="Arial"/>
        </w:rPr>
        <w:tab/>
        <w:t>Ekim gösterge rakamı</w:t>
      </w:r>
    </w:p>
    <w:p w:rsidR="00AE6D10" w:rsidRPr="00580DCC" w:rsidRDefault="00AE6D10">
      <w:pPr>
        <w:rPr>
          <w:rFonts w:ascii="Arial" w:hAnsi="Arial" w:cs="Arial"/>
        </w:rPr>
      </w:pPr>
    </w:p>
    <w:p w:rsidR="0036526B" w:rsidRDefault="00656868">
      <w:pPr>
        <w:rPr>
          <w:rFonts w:ascii="Arial" w:hAnsi="Arial" w:cs="Arial"/>
        </w:rPr>
      </w:pPr>
      <w:r w:rsidRPr="00580DCC">
        <w:rPr>
          <w:rFonts w:ascii="Arial" w:hAnsi="Arial" w:cs="Arial"/>
        </w:rPr>
        <w:t xml:space="preserve">Endeksin ilk </w:t>
      </w:r>
      <w:proofErr w:type="spellStart"/>
      <w:r w:rsidRPr="00580DCC">
        <w:rPr>
          <w:rFonts w:ascii="Arial" w:hAnsi="Arial" w:cs="Arial"/>
        </w:rPr>
        <w:t>tesbitinden</w:t>
      </w:r>
      <w:proofErr w:type="spellEnd"/>
      <w:r w:rsidRPr="00580DCC">
        <w:rPr>
          <w:rFonts w:ascii="Arial" w:hAnsi="Arial" w:cs="Arial"/>
        </w:rPr>
        <w:t xml:space="preserve"> 2013 yılının Ekim sonuna kadar acaba enflasyon ne olmuştur. </w:t>
      </w:r>
    </w:p>
    <w:p w:rsidR="00E24055" w:rsidRDefault="00E24055">
      <w:pPr>
        <w:rPr>
          <w:rFonts w:ascii="Arial" w:hAnsi="Arial" w:cs="Arial"/>
        </w:rPr>
      </w:pPr>
      <w:r>
        <w:rPr>
          <w:rFonts w:ascii="Arial" w:hAnsi="Arial" w:cs="Arial"/>
        </w:rPr>
        <w:t xml:space="preserve">Her iki tabloya göre tüketici ve üretici fiyat enflasyonlarını bulalım. </w:t>
      </w:r>
    </w:p>
    <w:p w:rsidR="00E24055" w:rsidRDefault="00E24055">
      <w:pPr>
        <w:rPr>
          <w:rFonts w:ascii="Arial" w:hAnsi="Arial" w:cs="Arial"/>
        </w:rPr>
      </w:pPr>
    </w:p>
    <w:p w:rsidR="00E24055" w:rsidRPr="00E24055" w:rsidRDefault="00E24055" w:rsidP="00E24055">
      <w:pPr>
        <w:pStyle w:val="ListeParagraf"/>
        <w:numPr>
          <w:ilvl w:val="0"/>
          <w:numId w:val="1"/>
        </w:numPr>
        <w:rPr>
          <w:rFonts w:ascii="Arial" w:hAnsi="Arial" w:cs="Arial"/>
        </w:rPr>
      </w:pPr>
      <w:r w:rsidRPr="00E24055">
        <w:rPr>
          <w:rFonts w:ascii="Arial" w:hAnsi="Arial" w:cs="Arial"/>
        </w:rPr>
        <w:t xml:space="preserve">Tüketici fiyat </w:t>
      </w:r>
      <w:proofErr w:type="gramStart"/>
      <w:r w:rsidRPr="00E24055">
        <w:rPr>
          <w:rFonts w:ascii="Arial" w:hAnsi="Arial" w:cs="Arial"/>
        </w:rPr>
        <w:t>enflasyonu :</w:t>
      </w:r>
      <w:proofErr w:type="gramEnd"/>
    </w:p>
    <w:p w:rsidR="00656868" w:rsidRPr="00580DCC" w:rsidRDefault="00656868">
      <w:pPr>
        <w:rPr>
          <w:rFonts w:ascii="Arial" w:hAnsi="Arial" w:cs="Arial"/>
        </w:rPr>
      </w:pPr>
      <w:r w:rsidRPr="00580DCC">
        <w:rPr>
          <w:rFonts w:ascii="Arial" w:hAnsi="Arial" w:cs="Arial"/>
        </w:rPr>
        <w:t xml:space="preserve">Aşağıdaki formülle bunu bulabiliriz. </w:t>
      </w:r>
    </w:p>
    <w:p w:rsidR="0036526B" w:rsidRPr="00580DCC" w:rsidRDefault="0036526B">
      <w:pPr>
        <w:rPr>
          <w:rFonts w:ascii="Arial" w:hAnsi="Arial" w:cs="Arial"/>
        </w:rPr>
      </w:pPr>
      <w:proofErr w:type="gramStart"/>
      <w:r w:rsidRPr="00580DCC">
        <w:rPr>
          <w:rFonts w:ascii="Arial" w:hAnsi="Arial" w:cs="Arial"/>
        </w:rPr>
        <w:t>227,94/94,77</w:t>
      </w:r>
      <w:proofErr w:type="gramEnd"/>
      <w:r w:rsidRPr="00580DCC">
        <w:rPr>
          <w:rFonts w:ascii="Arial" w:hAnsi="Arial" w:cs="Arial"/>
        </w:rPr>
        <w:t>= % 240,51 ARTIŞ</w:t>
      </w:r>
      <w:r w:rsidR="00656868" w:rsidRPr="00580DCC">
        <w:rPr>
          <w:rFonts w:ascii="Arial" w:hAnsi="Arial" w:cs="Arial"/>
        </w:rPr>
        <w:t xml:space="preserve"> OLMUŞTUR. </w:t>
      </w:r>
    </w:p>
    <w:p w:rsidR="00656868" w:rsidRPr="00580DCC" w:rsidRDefault="00656868">
      <w:pPr>
        <w:rPr>
          <w:rFonts w:ascii="Arial" w:hAnsi="Arial" w:cs="Arial"/>
        </w:rPr>
      </w:pPr>
      <w:r w:rsidRPr="00580DCC">
        <w:rPr>
          <w:rFonts w:ascii="Arial" w:hAnsi="Arial" w:cs="Arial"/>
        </w:rPr>
        <w:t xml:space="preserve">En son enflasyon düzeltmesi 2004 yılında olduğu için bir de 2005 ocak ayı ile 2013 Ekim ayı arasındaki Tüketici fiyat </w:t>
      </w:r>
      <w:proofErr w:type="gramStart"/>
      <w:r w:rsidRPr="00580DCC">
        <w:rPr>
          <w:rFonts w:ascii="Arial" w:hAnsi="Arial" w:cs="Arial"/>
        </w:rPr>
        <w:t>enflasyonunu  inceleyelim</w:t>
      </w:r>
      <w:proofErr w:type="gramEnd"/>
      <w:r w:rsidRPr="00580DCC">
        <w:rPr>
          <w:rFonts w:ascii="Arial" w:hAnsi="Arial" w:cs="Arial"/>
        </w:rPr>
        <w:t xml:space="preserve">. </w:t>
      </w:r>
    </w:p>
    <w:p w:rsidR="00656868" w:rsidRDefault="00656868">
      <w:pPr>
        <w:rPr>
          <w:rFonts w:ascii="Arial" w:hAnsi="Arial" w:cs="Arial"/>
        </w:rPr>
      </w:pPr>
      <w:r w:rsidRPr="00580DCC">
        <w:rPr>
          <w:rFonts w:ascii="Arial" w:hAnsi="Arial" w:cs="Arial"/>
        </w:rPr>
        <w:t xml:space="preserve">TÜKETİCİ FİYATLARINDA </w:t>
      </w:r>
      <w:proofErr w:type="gramStart"/>
      <w:r w:rsidRPr="00580DCC">
        <w:rPr>
          <w:rFonts w:ascii="Arial" w:hAnsi="Arial" w:cs="Arial"/>
        </w:rPr>
        <w:t>227,94/114,49</w:t>
      </w:r>
      <w:proofErr w:type="gramEnd"/>
      <w:r w:rsidRPr="00580DCC">
        <w:rPr>
          <w:rFonts w:ascii="Arial" w:hAnsi="Arial" w:cs="Arial"/>
        </w:rPr>
        <w:t xml:space="preserve"> = % 199,57 ARTIŞ OLDUĞU GÖRÜLMEKTEDİR. </w:t>
      </w:r>
    </w:p>
    <w:p w:rsidR="00AE6D10" w:rsidRPr="00580DCC" w:rsidRDefault="00AE6D10">
      <w:pPr>
        <w:rPr>
          <w:rFonts w:ascii="Arial" w:hAnsi="Arial" w:cs="Arial"/>
        </w:rPr>
      </w:pPr>
    </w:p>
    <w:p w:rsidR="0036526B" w:rsidRPr="00E24055" w:rsidRDefault="00E24055" w:rsidP="00E24055">
      <w:pPr>
        <w:pStyle w:val="ListeParagraf"/>
        <w:numPr>
          <w:ilvl w:val="0"/>
          <w:numId w:val="1"/>
        </w:numPr>
        <w:rPr>
          <w:rFonts w:ascii="Arial" w:hAnsi="Arial" w:cs="Arial"/>
        </w:rPr>
      </w:pPr>
      <w:r w:rsidRPr="00E24055">
        <w:rPr>
          <w:rFonts w:ascii="Arial" w:hAnsi="Arial" w:cs="Arial"/>
        </w:rPr>
        <w:t xml:space="preserve">Üretici Fiyat enflasyonunu da bulalım. </w:t>
      </w:r>
    </w:p>
    <w:p w:rsidR="0036526B" w:rsidRPr="00580DCC" w:rsidRDefault="0036526B">
      <w:pPr>
        <w:rPr>
          <w:rFonts w:ascii="Arial" w:hAnsi="Arial" w:cs="Arial"/>
        </w:rPr>
      </w:pPr>
    </w:p>
    <w:p w:rsidR="0036526B" w:rsidRPr="00580DCC" w:rsidRDefault="0036526B">
      <w:pPr>
        <w:rPr>
          <w:rFonts w:ascii="Arial" w:hAnsi="Arial" w:cs="Arial"/>
        </w:rPr>
      </w:pPr>
      <w:proofErr w:type="gramStart"/>
      <w:r w:rsidRPr="00580DCC">
        <w:rPr>
          <w:rFonts w:ascii="Arial" w:hAnsi="Arial" w:cs="Arial"/>
        </w:rPr>
        <w:t>220,06/96,99</w:t>
      </w:r>
      <w:proofErr w:type="gramEnd"/>
      <w:r w:rsidRPr="00580DCC">
        <w:rPr>
          <w:rFonts w:ascii="Arial" w:hAnsi="Arial" w:cs="Arial"/>
        </w:rPr>
        <w:t xml:space="preserve"> = %226,89 ARTIŞ</w:t>
      </w:r>
    </w:p>
    <w:p w:rsidR="00656868" w:rsidRPr="00580DCC" w:rsidRDefault="00656868">
      <w:pPr>
        <w:rPr>
          <w:rFonts w:ascii="Arial" w:hAnsi="Arial" w:cs="Arial"/>
        </w:rPr>
      </w:pPr>
      <w:r w:rsidRPr="00580DCC">
        <w:rPr>
          <w:rFonts w:ascii="Arial" w:hAnsi="Arial" w:cs="Arial"/>
        </w:rPr>
        <w:t xml:space="preserve">Aynı şekilde 2005 Ocak ayı ile 2013 Ekim ayı arasında Üretici fiyat enflasyonu ne olmuştur bakalım. </w:t>
      </w:r>
    </w:p>
    <w:p w:rsidR="00656868" w:rsidRPr="00580DCC" w:rsidRDefault="00656868">
      <w:pPr>
        <w:rPr>
          <w:rFonts w:ascii="Arial" w:hAnsi="Arial" w:cs="Arial"/>
        </w:rPr>
      </w:pPr>
      <w:proofErr w:type="gramStart"/>
      <w:r w:rsidRPr="00580DCC">
        <w:rPr>
          <w:rFonts w:ascii="Arial" w:hAnsi="Arial" w:cs="Arial"/>
        </w:rPr>
        <w:t>220,06/118,64</w:t>
      </w:r>
      <w:proofErr w:type="gramEnd"/>
      <w:r w:rsidRPr="00580DCC">
        <w:rPr>
          <w:rFonts w:ascii="Arial" w:hAnsi="Arial" w:cs="Arial"/>
        </w:rPr>
        <w:t xml:space="preserve"> = %185,49</w:t>
      </w:r>
    </w:p>
    <w:p w:rsidR="00FE1BC3" w:rsidRPr="00580DCC" w:rsidRDefault="00FE1BC3" w:rsidP="00FE1BC3">
      <w:pPr>
        <w:rPr>
          <w:rFonts w:ascii="Arial" w:hAnsi="Arial" w:cs="Arial"/>
        </w:rPr>
      </w:pPr>
    </w:p>
    <w:p w:rsidR="00451ED3" w:rsidRPr="00580DCC" w:rsidRDefault="00451ED3" w:rsidP="00FE1BC3">
      <w:pPr>
        <w:rPr>
          <w:rFonts w:ascii="Arial" w:hAnsi="Arial" w:cs="Arial"/>
        </w:rPr>
      </w:pPr>
      <w:proofErr w:type="gramStart"/>
      <w:r w:rsidRPr="00580DCC">
        <w:rPr>
          <w:rFonts w:ascii="Arial" w:hAnsi="Arial" w:cs="Arial"/>
        </w:rPr>
        <w:t>SONUÇ :</w:t>
      </w:r>
      <w:proofErr w:type="gramEnd"/>
      <w:r w:rsidRPr="00580DCC">
        <w:rPr>
          <w:rFonts w:ascii="Arial" w:hAnsi="Arial" w:cs="Arial"/>
        </w:rPr>
        <w:t xml:space="preserve"> </w:t>
      </w:r>
    </w:p>
    <w:p w:rsidR="00451ED3" w:rsidRPr="00580DCC" w:rsidRDefault="00451ED3" w:rsidP="00FE1BC3">
      <w:pPr>
        <w:rPr>
          <w:rFonts w:ascii="Arial" w:hAnsi="Arial" w:cs="Arial"/>
        </w:rPr>
      </w:pPr>
      <w:r w:rsidRPr="00580DCC">
        <w:rPr>
          <w:rFonts w:ascii="Arial" w:hAnsi="Arial" w:cs="Arial"/>
        </w:rPr>
        <w:tab/>
        <w:t>İlk ve</w:t>
      </w:r>
      <w:r w:rsidR="00E24055">
        <w:rPr>
          <w:rFonts w:ascii="Arial" w:hAnsi="Arial" w:cs="Arial"/>
        </w:rPr>
        <w:t xml:space="preserve"> </w:t>
      </w:r>
      <w:proofErr w:type="gramStart"/>
      <w:r w:rsidR="00E24055">
        <w:rPr>
          <w:rFonts w:ascii="Arial" w:hAnsi="Arial" w:cs="Arial"/>
        </w:rPr>
        <w:t xml:space="preserve">son </w:t>
      </w:r>
      <w:r w:rsidRPr="00580DCC">
        <w:rPr>
          <w:rFonts w:ascii="Arial" w:hAnsi="Arial" w:cs="Arial"/>
        </w:rPr>
        <w:t xml:space="preserve"> defa</w:t>
      </w:r>
      <w:proofErr w:type="gramEnd"/>
      <w:r w:rsidRPr="00580DCC">
        <w:rPr>
          <w:rFonts w:ascii="Arial" w:hAnsi="Arial" w:cs="Arial"/>
        </w:rPr>
        <w:t xml:space="preserve"> yapılan enflasyon düzeltmesinden sonra geçen 10 yılda</w:t>
      </w:r>
      <w:r w:rsidR="00E24055">
        <w:rPr>
          <w:rFonts w:ascii="Arial" w:hAnsi="Arial" w:cs="Arial"/>
        </w:rPr>
        <w:t xml:space="preserve"> </w:t>
      </w:r>
      <w:r w:rsidRPr="00580DCC">
        <w:rPr>
          <w:rFonts w:ascii="Arial" w:hAnsi="Arial" w:cs="Arial"/>
        </w:rPr>
        <w:t xml:space="preserve">enflasyon kontrol altına alınmış ve Vergi Usul Kanunun mükerrer 298 inci maddesinde belirtilen enflasyon düzeltmesi yapılabilmesi için gerekli olan her iki şart birden gerçekleşmemiştir. </w:t>
      </w:r>
    </w:p>
    <w:p w:rsidR="00451ED3" w:rsidRPr="00580DCC" w:rsidRDefault="00451ED3" w:rsidP="00FE1BC3">
      <w:pPr>
        <w:rPr>
          <w:rFonts w:ascii="Arial" w:hAnsi="Arial" w:cs="Arial"/>
        </w:rPr>
      </w:pPr>
      <w:r w:rsidRPr="00580DCC">
        <w:rPr>
          <w:rFonts w:ascii="Arial" w:hAnsi="Arial" w:cs="Arial"/>
        </w:rPr>
        <w:lastRenderedPageBreak/>
        <w:t>Ancak</w:t>
      </w:r>
      <w:r w:rsidR="00E24055">
        <w:rPr>
          <w:rFonts w:ascii="Arial" w:hAnsi="Arial" w:cs="Arial"/>
        </w:rPr>
        <w:t xml:space="preserve">, enflasyon düzeltmesi yapıldıktan </w:t>
      </w:r>
      <w:proofErr w:type="gramStart"/>
      <w:r w:rsidR="00E24055">
        <w:rPr>
          <w:rFonts w:ascii="Arial" w:hAnsi="Arial" w:cs="Arial"/>
        </w:rPr>
        <w:t xml:space="preserve">sonraki </w:t>
      </w:r>
      <w:r w:rsidRPr="00580DCC">
        <w:rPr>
          <w:rFonts w:ascii="Arial" w:hAnsi="Arial" w:cs="Arial"/>
        </w:rPr>
        <w:t xml:space="preserve"> 10</w:t>
      </w:r>
      <w:proofErr w:type="gramEnd"/>
      <w:r w:rsidRPr="00580DCC">
        <w:rPr>
          <w:rFonts w:ascii="Arial" w:hAnsi="Arial" w:cs="Arial"/>
        </w:rPr>
        <w:t xml:space="preserve"> yıllık gelişmeye baktığımızda Tüketici fiyatları ile enflasyonun %199,57, üretici fiyatları ile enflasyonun ise %185,49 olduğu açıkça görülmektedir. </w:t>
      </w:r>
    </w:p>
    <w:p w:rsidR="00451ED3" w:rsidRPr="00580DCC" w:rsidRDefault="00451ED3" w:rsidP="00FE1BC3">
      <w:pPr>
        <w:rPr>
          <w:rFonts w:ascii="Arial" w:hAnsi="Arial" w:cs="Arial"/>
        </w:rPr>
      </w:pPr>
      <w:r w:rsidRPr="00580DCC">
        <w:rPr>
          <w:rFonts w:ascii="Arial" w:hAnsi="Arial" w:cs="Arial"/>
        </w:rPr>
        <w:t>Bu şekildeki rakamlar neyi gösteriyor biliyor musunuz?</w:t>
      </w:r>
    </w:p>
    <w:p w:rsidR="00451ED3" w:rsidRPr="00580DCC" w:rsidRDefault="00451ED3" w:rsidP="00FE1BC3">
      <w:pPr>
        <w:rPr>
          <w:rFonts w:ascii="Arial" w:hAnsi="Arial" w:cs="Arial"/>
        </w:rPr>
      </w:pPr>
      <w:r w:rsidRPr="00580DCC">
        <w:rPr>
          <w:rFonts w:ascii="Arial" w:hAnsi="Arial" w:cs="Arial"/>
        </w:rPr>
        <w:t xml:space="preserve">Gayet tabii ki biliyorsunuz. </w:t>
      </w:r>
    </w:p>
    <w:p w:rsidR="00451ED3" w:rsidRPr="00580DCC" w:rsidRDefault="00451ED3" w:rsidP="00FE1BC3">
      <w:pPr>
        <w:rPr>
          <w:rFonts w:ascii="Arial" w:hAnsi="Arial" w:cs="Arial"/>
        </w:rPr>
      </w:pPr>
      <w:r w:rsidRPr="00580DCC">
        <w:rPr>
          <w:rFonts w:ascii="Arial" w:hAnsi="Arial" w:cs="Arial"/>
        </w:rPr>
        <w:t xml:space="preserve">İşletmelerin bilançoları yine gerçeği göstermemektedir. </w:t>
      </w:r>
    </w:p>
    <w:p w:rsidR="00451ED3" w:rsidRPr="00580DCC" w:rsidRDefault="00451ED3" w:rsidP="00FE1BC3">
      <w:pPr>
        <w:rPr>
          <w:rFonts w:ascii="Arial" w:hAnsi="Arial" w:cs="Arial"/>
        </w:rPr>
      </w:pPr>
      <w:r w:rsidRPr="00580DCC">
        <w:rPr>
          <w:rFonts w:ascii="Arial" w:hAnsi="Arial" w:cs="Arial"/>
        </w:rPr>
        <w:t xml:space="preserve">Bu sebeple ya yine yeniden 10 yıllık bir enflasyon düzeltmesi yapılmalı veya bir şekilde eskiden olduğu gibi yeniden değerleme yapılabilmelidir ki bilançolar düzelsin. </w:t>
      </w:r>
    </w:p>
    <w:p w:rsidR="00090158" w:rsidRDefault="00451ED3" w:rsidP="00FE1BC3">
      <w:pPr>
        <w:rPr>
          <w:rFonts w:ascii="Arial" w:hAnsi="Arial" w:cs="Arial"/>
        </w:rPr>
      </w:pPr>
      <w:r w:rsidRPr="00580DCC">
        <w:rPr>
          <w:rFonts w:ascii="Arial" w:hAnsi="Arial" w:cs="Arial"/>
        </w:rPr>
        <w:t xml:space="preserve">Bana göre kesinlikle basit de olsa bir düzenleme yapılarak bilançoların tekrar düzelmesi sağlanmalıdır. </w:t>
      </w:r>
    </w:p>
    <w:p w:rsidR="00090158" w:rsidRDefault="00090158" w:rsidP="00FE1BC3">
      <w:pPr>
        <w:rPr>
          <w:rFonts w:ascii="Arial" w:hAnsi="Arial" w:cs="Arial"/>
        </w:rPr>
      </w:pPr>
    </w:p>
    <w:p w:rsidR="00451ED3" w:rsidRPr="00090158" w:rsidRDefault="00451ED3" w:rsidP="00FE1BC3">
      <w:pPr>
        <w:rPr>
          <w:rFonts w:ascii="Arial" w:hAnsi="Arial" w:cs="Arial"/>
        </w:rPr>
      </w:pPr>
      <w:r w:rsidRPr="00090158">
        <w:rPr>
          <w:rFonts w:ascii="Arial" w:hAnsi="Arial" w:cs="Arial"/>
          <w:b/>
        </w:rPr>
        <w:t>Cevdet Akçakoca</w:t>
      </w:r>
    </w:p>
    <w:p w:rsidR="00451ED3" w:rsidRPr="00580DCC" w:rsidRDefault="00451ED3" w:rsidP="00FE1BC3">
      <w:pPr>
        <w:rPr>
          <w:rFonts w:ascii="Arial" w:hAnsi="Arial" w:cs="Arial"/>
        </w:rPr>
      </w:pPr>
      <w:r w:rsidRPr="00090158">
        <w:rPr>
          <w:rFonts w:ascii="Arial" w:hAnsi="Arial" w:cs="Arial"/>
          <w:b/>
        </w:rPr>
        <w:t>Yeminli Mali Müşavir</w:t>
      </w:r>
    </w:p>
    <w:p w:rsidR="00FE1BC3" w:rsidRPr="00580DCC" w:rsidRDefault="00FE1BC3" w:rsidP="00FE1BC3">
      <w:pPr>
        <w:rPr>
          <w:rFonts w:ascii="Arial" w:hAnsi="Arial" w:cs="Arial"/>
        </w:rPr>
      </w:pPr>
      <w:r w:rsidRPr="00580DCC">
        <w:rPr>
          <w:rFonts w:ascii="Arial" w:hAnsi="Arial" w:cs="Arial"/>
        </w:rPr>
        <w:t xml:space="preserve"> </w:t>
      </w:r>
    </w:p>
    <w:p w:rsidR="0036526B" w:rsidRPr="00580DCC" w:rsidRDefault="0036526B">
      <w:pPr>
        <w:rPr>
          <w:rFonts w:ascii="Arial" w:hAnsi="Arial" w:cs="Arial"/>
        </w:rPr>
      </w:pPr>
    </w:p>
    <w:sectPr w:rsidR="0036526B" w:rsidRPr="00580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46547"/>
    <w:multiLevelType w:val="hybridMultilevel"/>
    <w:tmpl w:val="45949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6B"/>
    <w:rsid w:val="00090158"/>
    <w:rsid w:val="00135876"/>
    <w:rsid w:val="0036526B"/>
    <w:rsid w:val="003918EF"/>
    <w:rsid w:val="00451ED3"/>
    <w:rsid w:val="00580DCC"/>
    <w:rsid w:val="00640808"/>
    <w:rsid w:val="00656868"/>
    <w:rsid w:val="007C001B"/>
    <w:rsid w:val="00925FF1"/>
    <w:rsid w:val="00A9768E"/>
    <w:rsid w:val="00AE6D10"/>
    <w:rsid w:val="00BC1471"/>
    <w:rsid w:val="00CD0C97"/>
    <w:rsid w:val="00E24055"/>
    <w:rsid w:val="00EF69C5"/>
    <w:rsid w:val="00FE1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5CE6A-9CA9-48DE-AADB-89220EC2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054366">
      <w:bodyDiv w:val="1"/>
      <w:marLeft w:val="0"/>
      <w:marRight w:val="0"/>
      <w:marTop w:val="0"/>
      <w:marBottom w:val="0"/>
      <w:divBdr>
        <w:top w:val="none" w:sz="0" w:space="0" w:color="auto"/>
        <w:left w:val="none" w:sz="0" w:space="0" w:color="auto"/>
        <w:bottom w:val="none" w:sz="0" w:space="0" w:color="auto"/>
        <w:right w:val="none" w:sz="0" w:space="0" w:color="auto"/>
      </w:divBdr>
    </w:div>
    <w:div w:id="21273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2010/vuk_401.htm" TargetMode="External"/><Relationship Id="rId13" Type="http://schemas.openxmlformats.org/officeDocument/2006/relationships/hyperlink" Target="http://www.alomaliye.com/kasim_05/vuk_353.htm" TargetMode="External"/><Relationship Id="rId3" Type="http://schemas.openxmlformats.org/officeDocument/2006/relationships/styles" Target="styles.xml"/><Relationship Id="rId7" Type="http://schemas.openxmlformats.org/officeDocument/2006/relationships/hyperlink" Target="http://www.alomaliye.com/2011/vuk_genel_tebligi_410.htm" TargetMode="External"/><Relationship Id="rId12" Type="http://schemas.openxmlformats.org/officeDocument/2006/relationships/hyperlink" Target="http://www.alomaliye.com/kasim_06/vuk_36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omaliye.com/2012/vergi-usul-kanunu-tebligi-419.htm" TargetMode="External"/><Relationship Id="rId11" Type="http://schemas.openxmlformats.org/officeDocument/2006/relationships/hyperlink" Target="http://www.alomaliye.com/2007/vuk_377.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omaliye.com/2008/vuk_388.htm" TargetMode="External"/><Relationship Id="rId4" Type="http://schemas.openxmlformats.org/officeDocument/2006/relationships/settings" Target="settings.xml"/><Relationship Id="rId9" Type="http://schemas.openxmlformats.org/officeDocument/2006/relationships/hyperlink" Target="http://www.alomaliye.com/2009/vuk_392.ht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90AA-F43D-4952-9773-FC08FE1F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6310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3</cp:revision>
  <dcterms:created xsi:type="dcterms:W3CDTF">2013-12-03T06:21:00Z</dcterms:created>
  <dcterms:modified xsi:type="dcterms:W3CDTF">2013-12-03T06:25:00Z</dcterms:modified>
</cp:coreProperties>
</file>