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FB" w:rsidRDefault="007E3EFB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Bursa, 30.Ocak.2014</w:t>
      </w:r>
    </w:p>
    <w:p w:rsidR="007E3EFB" w:rsidRDefault="007E3EFB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3EFB" w:rsidRDefault="007E3EFB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HARCIRAH UYGULAMASI HATIRLATMALARI </w:t>
      </w:r>
    </w:p>
    <w:p w:rsidR="007E3EFB" w:rsidRDefault="007E3EFB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</w:p>
    <w:p w:rsidR="00FD6BC9" w:rsidRDefault="007E3EFB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6E56">
        <w:rPr>
          <w:rFonts w:ascii="Arial" w:hAnsi="Arial" w:cs="Arial"/>
          <w:sz w:val="24"/>
          <w:szCs w:val="24"/>
        </w:rPr>
        <w:t xml:space="preserve">Harcırah </w:t>
      </w:r>
      <w:r w:rsidR="00FD6BC9">
        <w:rPr>
          <w:rFonts w:ascii="Arial" w:hAnsi="Arial" w:cs="Arial"/>
          <w:sz w:val="24"/>
          <w:szCs w:val="24"/>
        </w:rPr>
        <w:t>uygulaması</w:t>
      </w:r>
      <w:r w:rsidR="003D6E56">
        <w:rPr>
          <w:rFonts w:ascii="Arial" w:hAnsi="Arial" w:cs="Arial"/>
          <w:sz w:val="24"/>
          <w:szCs w:val="24"/>
        </w:rPr>
        <w:t xml:space="preserve"> birçok </w:t>
      </w:r>
      <w:proofErr w:type="gramStart"/>
      <w:r w:rsidR="003D6E56">
        <w:rPr>
          <w:rFonts w:ascii="Arial" w:hAnsi="Arial" w:cs="Arial"/>
          <w:sz w:val="24"/>
          <w:szCs w:val="24"/>
        </w:rPr>
        <w:t>firmada  anlaşılmayan</w:t>
      </w:r>
      <w:proofErr w:type="gramEnd"/>
      <w:r w:rsidR="003D6E56">
        <w:rPr>
          <w:rFonts w:ascii="Arial" w:hAnsi="Arial" w:cs="Arial"/>
          <w:sz w:val="24"/>
          <w:szCs w:val="24"/>
        </w:rPr>
        <w:t xml:space="preserve">, anlaşılamayan ve tam olarak tatbik edilemeyen bir konudur. Bu sebeple firmaların </w:t>
      </w:r>
      <w:proofErr w:type="gramStart"/>
      <w:r w:rsidR="003D6E56">
        <w:rPr>
          <w:rFonts w:ascii="Arial" w:hAnsi="Arial" w:cs="Arial"/>
          <w:sz w:val="24"/>
          <w:szCs w:val="24"/>
        </w:rPr>
        <w:t>yurtiçi  ve</w:t>
      </w:r>
      <w:proofErr w:type="gramEnd"/>
      <w:r w:rsidR="003D6E56">
        <w:rPr>
          <w:rFonts w:ascii="Arial" w:hAnsi="Arial" w:cs="Arial"/>
          <w:sz w:val="24"/>
          <w:szCs w:val="24"/>
        </w:rPr>
        <w:t xml:space="preserve"> yurtdışı seyahat giderlerinin muhasebeleşmesinde hatalar yapılmakta</w:t>
      </w:r>
      <w:r w:rsidR="00FD6BC9">
        <w:rPr>
          <w:rFonts w:ascii="Arial" w:hAnsi="Arial" w:cs="Arial"/>
          <w:sz w:val="24"/>
          <w:szCs w:val="24"/>
        </w:rPr>
        <w:t xml:space="preserve">dır. </w:t>
      </w:r>
    </w:p>
    <w:p w:rsidR="007E3EFB" w:rsidRDefault="00FD6BC9" w:rsidP="00FD6BC9">
      <w:pPr>
        <w:spacing w:after="38"/>
        <w:ind w:left="753" w:right="966" w:firstLine="6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kere bu hatalarla karşılaşan firma</w:t>
      </w:r>
      <w:r w:rsidR="003D6E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 hatalarla uğraşmaktansa harcırah tatbikatından resmi olarak vazgeçmekte, </w:t>
      </w:r>
      <w:proofErr w:type="spellStart"/>
      <w:r>
        <w:rPr>
          <w:rFonts w:ascii="Arial" w:hAnsi="Arial" w:cs="Arial"/>
          <w:sz w:val="24"/>
          <w:szCs w:val="24"/>
        </w:rPr>
        <w:t>gayriresmi</w:t>
      </w:r>
      <w:proofErr w:type="spellEnd"/>
      <w:r>
        <w:rPr>
          <w:rFonts w:ascii="Arial" w:hAnsi="Arial" w:cs="Arial"/>
          <w:sz w:val="24"/>
          <w:szCs w:val="24"/>
        </w:rPr>
        <w:t xml:space="preserve"> olarak uygulamakta,</w:t>
      </w:r>
      <w:r w:rsidR="003D6E56">
        <w:rPr>
          <w:rFonts w:ascii="Arial" w:hAnsi="Arial" w:cs="Arial"/>
          <w:sz w:val="24"/>
          <w:szCs w:val="24"/>
        </w:rPr>
        <w:t xml:space="preserve"> harcırahları muhasebeleştirmemekte ve bu sebepten kasalarda açıklar doğmakta, seyahatte harcanmış paralar</w:t>
      </w:r>
      <w:r>
        <w:rPr>
          <w:rFonts w:ascii="Arial" w:hAnsi="Arial" w:cs="Arial"/>
          <w:sz w:val="24"/>
          <w:szCs w:val="24"/>
        </w:rPr>
        <w:t xml:space="preserve"> masrafa kaydedilmek </w:t>
      </w:r>
      <w:proofErr w:type="gramStart"/>
      <w:r>
        <w:rPr>
          <w:rFonts w:ascii="Arial" w:hAnsi="Arial" w:cs="Arial"/>
          <w:sz w:val="24"/>
          <w:szCs w:val="24"/>
        </w:rPr>
        <w:t xml:space="preserve">yerine </w:t>
      </w:r>
      <w:r w:rsidR="003D6E56">
        <w:rPr>
          <w:rFonts w:ascii="Arial" w:hAnsi="Arial" w:cs="Arial"/>
          <w:sz w:val="24"/>
          <w:szCs w:val="24"/>
        </w:rPr>
        <w:t xml:space="preserve"> kasada</w:t>
      </w:r>
      <w:proofErr w:type="gramEnd"/>
      <w:r w:rsidR="003D6E56">
        <w:rPr>
          <w:rFonts w:ascii="Arial" w:hAnsi="Arial" w:cs="Arial"/>
          <w:sz w:val="24"/>
          <w:szCs w:val="24"/>
        </w:rPr>
        <w:t xml:space="preserve"> görünmekte ve kasalar şişmektedir. </w:t>
      </w:r>
    </w:p>
    <w:p w:rsidR="003D6E56" w:rsidRDefault="003D6E56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</w:p>
    <w:p w:rsidR="003D6E56" w:rsidRDefault="003D6E56" w:rsidP="007E3EFB">
      <w:pPr>
        <w:spacing w:after="38"/>
        <w:ind w:left="753" w:right="9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Harcırah uygulamasını değerli meslektaşım YMM: Yakup Kayıhan’ın basitleştirilmiş çalışmasından da yararlanarak yazıma konu yaptım. </w:t>
      </w:r>
    </w:p>
    <w:p w:rsidR="007E3EFB" w:rsidRDefault="003D6E56" w:rsidP="007E3EFB">
      <w:pPr>
        <w:spacing w:after="38"/>
        <w:ind w:left="753" w:right="966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E3EFB" w:rsidRPr="00FD6BC9" w:rsidRDefault="007E3EFB" w:rsidP="003D6E56">
      <w:pPr>
        <w:spacing w:after="38"/>
        <w:ind w:left="753" w:right="966" w:firstLine="663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Yurtiçi ve yurtdışı harcırah uygulaması ile ilgili önemli bazı hatırlatmalar.  </w:t>
      </w:r>
    </w:p>
    <w:p w:rsidR="007E3EFB" w:rsidRPr="00FD6BC9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 </w:t>
      </w:r>
    </w:p>
    <w:p w:rsidR="007E3EFB" w:rsidRPr="00FD6BC9" w:rsidRDefault="007E3EFB" w:rsidP="003D6E56">
      <w:pPr>
        <w:ind w:left="753" w:right="1093" w:firstLine="663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*Harcırah uygulaması “yeme ve yatma” giderleri için olup harcırah uygulamasından yararlanmayıp harcama belgelerine göre gider yazma uygulaması da seçilebilir. Her ikisi de aynı anda uygulanırsa yani; “seyahat edene yeme ve yatma” giderlerine karşılık olmak üzere harcırah verilir ve seyahat edenin getirdiği “yeme ve yatma” ile ilgili belgeler gider yazılırsa verilen harcırahın tamamı </w:t>
      </w:r>
      <w:proofErr w:type="spellStart"/>
      <w:r w:rsidRPr="00FD6BC9">
        <w:rPr>
          <w:rFonts w:ascii="Arial" w:hAnsi="Arial" w:cs="Arial"/>
          <w:sz w:val="24"/>
          <w:szCs w:val="24"/>
        </w:rPr>
        <w:t>brütleştirilerek</w:t>
      </w:r>
      <w:proofErr w:type="spellEnd"/>
      <w:r w:rsidRPr="00FD6BC9">
        <w:rPr>
          <w:rFonts w:ascii="Arial" w:hAnsi="Arial" w:cs="Arial"/>
          <w:sz w:val="24"/>
          <w:szCs w:val="24"/>
        </w:rPr>
        <w:t xml:space="preserve"> gelir vergisine tabi tutulur. </w:t>
      </w:r>
    </w:p>
    <w:p w:rsidR="007E3EFB" w:rsidRPr="00FD6BC9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   </w:t>
      </w:r>
    </w:p>
    <w:p w:rsidR="007E3EFB" w:rsidRPr="00FD6BC9" w:rsidRDefault="003D6E56" w:rsidP="003D6E56">
      <w:pPr>
        <w:ind w:left="753" w:right="966" w:firstLine="663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>+</w:t>
      </w:r>
      <w:r w:rsidR="007E3EFB" w:rsidRPr="00FD6BC9">
        <w:rPr>
          <w:rFonts w:ascii="Arial" w:hAnsi="Arial" w:cs="Arial"/>
          <w:sz w:val="24"/>
          <w:szCs w:val="24"/>
        </w:rPr>
        <w:t xml:space="preserve">*Verilen harcırah tutarından aynı aylık seviyesindeki devlet memurlarına verilen gündelikleri veya devletçe verilen en yüksek gündelik miktarını aşan kısım brüte dönüştürülerek vergiye tabi tutulması gerekir. </w:t>
      </w:r>
    </w:p>
    <w:p w:rsidR="007E3EFB" w:rsidRPr="00FD6BC9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 </w:t>
      </w:r>
    </w:p>
    <w:p w:rsidR="007E3EFB" w:rsidRPr="00FD6BC9" w:rsidRDefault="007E3EFB" w:rsidP="003D6E56">
      <w:pPr>
        <w:spacing w:after="38"/>
        <w:ind w:left="753" w:right="966" w:firstLine="663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*Seyahat edenin “yeme ve yatma” gideri dışındaki giderleri harcama belgelerine göre gider yazılır. </w:t>
      </w:r>
    </w:p>
    <w:p w:rsidR="007E3EFB" w:rsidRPr="00FD6BC9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 xml:space="preserve"> </w:t>
      </w:r>
    </w:p>
    <w:p w:rsidR="00230372" w:rsidRPr="00FD6BC9" w:rsidRDefault="007E3EFB" w:rsidP="003D6E56">
      <w:pPr>
        <w:ind w:firstLine="648"/>
        <w:rPr>
          <w:rFonts w:ascii="Arial" w:hAnsi="Arial" w:cs="Arial"/>
          <w:sz w:val="24"/>
          <w:szCs w:val="24"/>
        </w:rPr>
      </w:pPr>
      <w:r w:rsidRPr="00FD6BC9">
        <w:rPr>
          <w:rFonts w:ascii="Arial" w:hAnsi="Arial" w:cs="Arial"/>
          <w:sz w:val="24"/>
          <w:szCs w:val="24"/>
        </w:rPr>
        <w:t>*Seyahat harcamalarının işle ilgili olmasını ve harcırahlardan %07,59 oranında damga vergisi kesintisi olduğunu da hatırlatmış olalım.</w:t>
      </w:r>
    </w:p>
    <w:p w:rsidR="003D6E56" w:rsidRPr="00FD6BC9" w:rsidRDefault="003D6E56" w:rsidP="003D6E56">
      <w:pPr>
        <w:ind w:firstLine="648"/>
        <w:rPr>
          <w:rFonts w:ascii="Arial" w:hAnsi="Arial" w:cs="Arial"/>
          <w:sz w:val="24"/>
          <w:szCs w:val="24"/>
        </w:rPr>
      </w:pPr>
    </w:p>
    <w:p w:rsidR="007E3EFB" w:rsidRPr="00433853" w:rsidRDefault="007E3EFB" w:rsidP="007E3EFB">
      <w:pPr>
        <w:spacing w:after="0" w:line="259" w:lineRule="auto"/>
        <w:ind w:left="0" w:right="924" w:firstLine="0"/>
        <w:jc w:val="center"/>
        <w:rPr>
          <w:rFonts w:ascii="Arial" w:hAnsi="Arial" w:cs="Arial"/>
          <w:sz w:val="24"/>
          <w:szCs w:val="24"/>
        </w:rPr>
      </w:pPr>
      <w:r w:rsidRPr="00433853">
        <w:rPr>
          <w:rFonts w:ascii="Arial" w:hAnsi="Arial" w:cs="Arial"/>
          <w:sz w:val="24"/>
          <w:szCs w:val="24"/>
        </w:rPr>
        <w:t xml:space="preserve">Tablo1: Yurtiçi Harcırah </w:t>
      </w:r>
      <w:proofErr w:type="gramStart"/>
      <w:r w:rsidRPr="00433853">
        <w:rPr>
          <w:rFonts w:ascii="Arial" w:hAnsi="Arial" w:cs="Arial"/>
          <w:sz w:val="24"/>
          <w:szCs w:val="24"/>
        </w:rPr>
        <w:t>Tutarları :</w:t>
      </w:r>
      <w:proofErr w:type="gramEnd"/>
      <w:r w:rsidRPr="00433853">
        <w:rPr>
          <w:rFonts w:ascii="Arial" w:hAnsi="Arial" w:cs="Arial"/>
          <w:sz w:val="24"/>
          <w:szCs w:val="24"/>
        </w:rPr>
        <w:t xml:space="preserve"> </w:t>
      </w:r>
    </w:p>
    <w:p w:rsidR="007E3EFB" w:rsidRPr="00433853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43385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7655" w:type="dxa"/>
        <w:tblInd w:w="1124" w:type="dxa"/>
        <w:tblCellMar>
          <w:top w:w="59" w:type="dxa"/>
          <w:left w:w="130" w:type="dxa"/>
          <w:bottom w:w="4" w:type="dxa"/>
          <w:right w:w="74" w:type="dxa"/>
        </w:tblCellMar>
        <w:tblLook w:val="04A0" w:firstRow="1" w:lastRow="0" w:firstColumn="1" w:lastColumn="0" w:noHBand="0" w:noVBand="1"/>
      </w:tblPr>
      <w:tblGrid>
        <w:gridCol w:w="3261"/>
        <w:gridCol w:w="4394"/>
      </w:tblGrid>
      <w:tr w:rsidR="007E3EFB" w:rsidRPr="00433853" w:rsidTr="00433853">
        <w:trPr>
          <w:trHeight w:val="8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3EFB" w:rsidRPr="00433853" w:rsidRDefault="007E3EFB" w:rsidP="006A150A">
            <w:pPr>
              <w:spacing w:after="0" w:line="259" w:lineRule="auto"/>
              <w:ind w:left="3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Brüt Aylık (maaş- ücret) /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3EFB" w:rsidRPr="00433853" w:rsidRDefault="007E3EFB" w:rsidP="006A150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Vergiden İstisna Gündelikler Tutarı /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433853">
        <w:trPr>
          <w:trHeight w:val="2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1.936,76 ve daha fazlası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48,50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433853">
        <w:trPr>
          <w:trHeight w:val="26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1.922,90 ila 1.936,75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40,50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433853">
        <w:trPr>
          <w:trHeight w:val="2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1.753,50 ila 1.922,89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37,50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433853">
        <w:trPr>
          <w:trHeight w:val="26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1.537,91 ila 1.753,49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0" w:righ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35,00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E0F55" w:rsidRDefault="00DE0F55" w:rsidP="007E3EFB">
      <w:pPr>
        <w:spacing w:after="49" w:line="234" w:lineRule="auto"/>
        <w:ind w:left="758" w:right="4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Yurtdışı harcırahlarına gelince: </w:t>
      </w:r>
    </w:p>
    <w:p w:rsidR="00DE0F55" w:rsidRDefault="00DE0F55" w:rsidP="007E3EFB">
      <w:pPr>
        <w:spacing w:after="49" w:line="234" w:lineRule="auto"/>
        <w:ind w:left="758" w:right="4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Yurtdışı harcırahlar, aşağıdaki tabloda, ülkelere ve gidenin maaşına göre belirtilen dövizlere göre hesaplanır. Bu gündeliklerde ilk 10 günlük süre için %50 zamlı hesaplama yapılır ve bu tutar tamamen vergiden muaftır. Sadece %07,59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binde 7,59 oranında damga vergisi hesaplanacaktır. </w:t>
      </w:r>
    </w:p>
    <w:p w:rsidR="00DE0F55" w:rsidRPr="00DE0F55" w:rsidRDefault="00DE0F55" w:rsidP="007E3EFB">
      <w:pPr>
        <w:spacing w:after="49" w:line="234" w:lineRule="auto"/>
        <w:ind w:left="758" w:right="4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Tabloda birkaç ülke örnek olarak alınmıştır. Tablonun tamamı 17.03.2013 tarih ve 28590 sayılı resmi gazetede yayımlanan 2013/4344</w:t>
      </w:r>
      <w:r>
        <w:rPr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sayılı karardadır. </w:t>
      </w:r>
    </w:p>
    <w:p w:rsidR="00DE0F55" w:rsidRDefault="00DE0F55" w:rsidP="007E3EFB">
      <w:pPr>
        <w:spacing w:after="49" w:line="234" w:lineRule="auto"/>
        <w:ind w:left="758" w:right="403"/>
        <w:jc w:val="left"/>
        <w:rPr>
          <w:b/>
        </w:rPr>
      </w:pPr>
    </w:p>
    <w:p w:rsidR="007E3EFB" w:rsidRPr="00433853" w:rsidRDefault="007E3EFB" w:rsidP="007E3EFB">
      <w:pPr>
        <w:spacing w:after="0" w:line="259" w:lineRule="auto"/>
        <w:ind w:left="0" w:right="1865" w:firstLine="0"/>
        <w:jc w:val="right"/>
        <w:rPr>
          <w:rFonts w:ascii="Arial" w:hAnsi="Arial" w:cs="Arial"/>
          <w:sz w:val="24"/>
          <w:szCs w:val="24"/>
        </w:rPr>
      </w:pPr>
      <w:r w:rsidRPr="00433853">
        <w:rPr>
          <w:rFonts w:ascii="Arial" w:eastAsia="Comic Sans MS" w:hAnsi="Arial" w:cs="Arial"/>
          <w:sz w:val="24"/>
          <w:szCs w:val="24"/>
        </w:rPr>
        <w:t>Yurtdışı Gündeliklerinin Hesaplanmasında Dikkate Alınacak Cetvel:</w:t>
      </w:r>
      <w:r w:rsidRPr="00433853">
        <w:rPr>
          <w:rFonts w:ascii="Arial" w:hAnsi="Arial" w:cs="Arial"/>
          <w:sz w:val="24"/>
          <w:szCs w:val="24"/>
        </w:rPr>
        <w:t xml:space="preserve"> </w:t>
      </w:r>
    </w:p>
    <w:p w:rsidR="007E3EFB" w:rsidRPr="00433853" w:rsidRDefault="007E3EFB" w:rsidP="007E3EFB">
      <w:pPr>
        <w:spacing w:after="0" w:line="259" w:lineRule="auto"/>
        <w:ind w:left="758" w:firstLine="0"/>
        <w:jc w:val="left"/>
        <w:rPr>
          <w:rFonts w:ascii="Arial" w:hAnsi="Arial" w:cs="Arial"/>
          <w:sz w:val="24"/>
          <w:szCs w:val="24"/>
        </w:rPr>
      </w:pPr>
      <w:r w:rsidRPr="0043385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49" w:type="dxa"/>
        <w:tblInd w:w="-342" w:type="dxa"/>
        <w:tblCellMar>
          <w:top w:w="16" w:type="dxa"/>
          <w:right w:w="60" w:type="dxa"/>
        </w:tblCellMar>
        <w:tblLook w:val="04A0" w:firstRow="1" w:lastRow="0" w:firstColumn="1" w:lastColumn="0" w:noHBand="0" w:noVBand="1"/>
      </w:tblPr>
      <w:tblGrid>
        <w:gridCol w:w="2033"/>
        <w:gridCol w:w="1418"/>
        <w:gridCol w:w="1417"/>
        <w:gridCol w:w="1701"/>
        <w:gridCol w:w="1560"/>
        <w:gridCol w:w="1620"/>
      </w:tblGrid>
      <w:tr w:rsidR="007E3EFB" w:rsidRPr="00433853" w:rsidTr="00DE0F55">
        <w:trPr>
          <w:trHeight w:val="269"/>
        </w:trPr>
        <w:tc>
          <w:tcPr>
            <w:tcW w:w="6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3EFB" w:rsidRPr="00433853" w:rsidRDefault="007E3EFB" w:rsidP="006A150A">
            <w:pPr>
              <w:spacing w:after="0" w:line="259" w:lineRule="auto"/>
              <w:ind w:left="0" w:right="204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BRÜT AYLIK TUTARLAR (maaş- ücret)/ TL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E3EFB" w:rsidRPr="00433853" w:rsidRDefault="007E3EFB" w:rsidP="006A150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EFB" w:rsidRPr="00433853" w:rsidTr="00DE0F55">
        <w:trPr>
          <w:trHeight w:val="287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-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3853">
              <w:rPr>
                <w:rFonts w:ascii="Arial" w:hAnsi="Arial" w:cs="Arial"/>
                <w:sz w:val="24"/>
                <w:szCs w:val="24"/>
              </w:rPr>
              <w:t xml:space="preserve">Ülkeler ve Para Birimi </w:t>
            </w:r>
            <w:r w:rsidRPr="0043385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1.922,90 ila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1.753,50 ila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1.537,91 ila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1.275,73 ila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DE0F55">
            <w:pPr>
              <w:spacing w:after="0" w:line="259" w:lineRule="auto"/>
              <w:ind w:left="15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1.275,</w:t>
            </w:r>
            <w:proofErr w:type="gramStart"/>
            <w:r w:rsidRPr="00433853">
              <w:rPr>
                <w:rFonts w:ascii="Arial" w:eastAsia="Comic Sans MS" w:hAnsi="Arial" w:cs="Arial"/>
                <w:sz w:val="24"/>
                <w:szCs w:val="24"/>
              </w:rPr>
              <w:t xml:space="preserve">72 </w:t>
            </w:r>
            <w:r w:rsidR="00DE0F55" w:rsidRPr="00433853">
              <w:rPr>
                <w:rFonts w:ascii="Arial" w:eastAsia="Comic Sans MS" w:hAnsi="Arial" w:cs="Arial"/>
                <w:sz w:val="24"/>
                <w:szCs w:val="24"/>
              </w:rPr>
              <w:t xml:space="preserve"> ve</w:t>
            </w:r>
            <w:proofErr w:type="gramEnd"/>
            <w:r w:rsidR="00DE0F55" w:rsidRPr="00433853">
              <w:rPr>
                <w:rFonts w:ascii="Arial" w:eastAsia="Comic Sans MS" w:hAnsi="Arial" w:cs="Arial"/>
                <w:sz w:val="24"/>
                <w:szCs w:val="24"/>
              </w:rPr>
              <w:t xml:space="preserve"> azı</w:t>
            </w:r>
          </w:p>
        </w:tc>
      </w:tr>
      <w:tr w:rsidR="007E3EFB" w:rsidRPr="00433853" w:rsidTr="00DE0F55">
        <w:trPr>
          <w:trHeight w:val="264"/>
        </w:trPr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-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85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1.936,75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1.922,89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1.753,49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1.537,90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EFB" w:rsidRPr="00433853" w:rsidTr="00DE0F55">
        <w:trPr>
          <w:trHeight w:val="269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433853">
            <w:pPr>
              <w:spacing w:after="0" w:line="259" w:lineRule="auto"/>
              <w:ind w:left="11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A.B.D. (A.B.D</w:t>
            </w:r>
            <w:r w:rsidR="00433853">
              <w:rPr>
                <w:rFonts w:ascii="Arial" w:eastAsia="Comic Sans MS" w:hAnsi="Arial" w:cs="Arial"/>
                <w:sz w:val="24"/>
                <w:szCs w:val="24"/>
              </w:rPr>
              <w:t xml:space="preserve"> $</w:t>
            </w:r>
            <w:r w:rsidRPr="00433853">
              <w:rPr>
                <w:rFonts w:ascii="Arial" w:eastAsia="Comic Sans MS" w:hAnsi="Arial" w:cs="Arial"/>
                <w:sz w:val="24"/>
                <w:szCs w:val="24"/>
              </w:rPr>
              <w:t>)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182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146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117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110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93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DE0F55">
        <w:trPr>
          <w:trHeight w:val="274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tabs>
                <w:tab w:val="center" w:pos="1834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Almanya (Euro)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85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164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131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105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99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83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DE0F55">
        <w:trPr>
          <w:trHeight w:val="274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tabs>
                <w:tab w:val="center" w:pos="1834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Fransa (Euro)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85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160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127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102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96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81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DE0F55">
        <w:trPr>
          <w:trHeight w:val="269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tabs>
                <w:tab w:val="center" w:pos="1834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Hollanda (Euro)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385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156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125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100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94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80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E3EFB" w:rsidRPr="00433853" w:rsidTr="00DE0F55">
        <w:trPr>
          <w:trHeight w:val="269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11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İngiltere (Sterlin)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115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91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74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6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69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FB" w:rsidRPr="00433853" w:rsidRDefault="007E3EFB" w:rsidP="006A150A">
            <w:pPr>
              <w:spacing w:after="0" w:line="259" w:lineRule="auto"/>
              <w:ind w:left="75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853">
              <w:rPr>
                <w:rFonts w:ascii="Arial" w:eastAsia="Comic Sans MS" w:hAnsi="Arial" w:cs="Arial"/>
                <w:sz w:val="24"/>
                <w:szCs w:val="24"/>
              </w:rPr>
              <w:t>59</w:t>
            </w:r>
            <w:r w:rsidRPr="004338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3EFB" w:rsidRDefault="007E3EFB" w:rsidP="007E3EFB"/>
    <w:p w:rsidR="00433853" w:rsidRPr="00433853" w:rsidRDefault="00433853" w:rsidP="007E3EFB">
      <w:pPr>
        <w:rPr>
          <w:rFonts w:ascii="Arial" w:hAnsi="Arial" w:cs="Arial"/>
          <w:sz w:val="24"/>
          <w:szCs w:val="24"/>
        </w:rPr>
      </w:pPr>
      <w:r w:rsidRPr="00433853">
        <w:rPr>
          <w:rFonts w:ascii="Arial" w:hAnsi="Arial" w:cs="Arial"/>
          <w:sz w:val="24"/>
          <w:szCs w:val="24"/>
        </w:rPr>
        <w:t xml:space="preserve">Bir örnek verelim. </w:t>
      </w: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Personelimiz brüt 6000 lira aylık almaktadır. Kendisini Almanya’ya fuara gönderdik. 12.Ocakta yurtdışına çıktı ve 18 Ocakta geri döndü. Basit matematik hesapla gün sayısını hesaplayacağız. 18-12 = 6 gün yurtdışında kalmıştır. </w:t>
      </w: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gün kaldığına göre hesaplamada gündelikleri %50 zamlı alınacaktır. Almanya harcırahı günlük 164 Euro’dur. 164 Euro’nun yarısı yani 82 E. Daha ilave edildiğinde günlük harcırah 246 Euro’dur. 6 gün X 246 Euro = 1476 Euro karşılığı TL. harcırah hesaplanacak ve herhangi bir vergi kesilmeyecektir. </w:t>
      </w:r>
      <w:proofErr w:type="spellStart"/>
      <w:r>
        <w:rPr>
          <w:rFonts w:ascii="Arial" w:hAnsi="Arial" w:cs="Arial"/>
          <w:sz w:val="24"/>
          <w:szCs w:val="24"/>
        </w:rPr>
        <w:t>Farzedelim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6B616E">
        <w:rPr>
          <w:rFonts w:ascii="Arial" w:hAnsi="Arial" w:cs="Arial"/>
          <w:sz w:val="24"/>
          <w:szCs w:val="24"/>
        </w:rPr>
        <w:t xml:space="preserve"> Euro </w:t>
      </w:r>
      <w:r>
        <w:rPr>
          <w:rFonts w:ascii="Arial" w:hAnsi="Arial" w:cs="Arial"/>
          <w:sz w:val="24"/>
          <w:szCs w:val="24"/>
        </w:rPr>
        <w:t>= 2,96 TL.</w:t>
      </w: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1.476 X 2,96 = 4.368,96 TL: harcırah tutarıdır. </w:t>
      </w:r>
    </w:p>
    <w:p w:rsidR="00433853" w:rsidRDefault="00433853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Damga vergisi ise 4.368.96X0,00759 = 33.16 TL. olacaktır.</w:t>
      </w: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Eğer personelimiz 6 gün içinde 1476 Euro yerine 2000 Euro harcamış olsa idi 2.000 – 1.476 = 524 </w:t>
      </w:r>
      <w:proofErr w:type="spellStart"/>
      <w:r>
        <w:rPr>
          <w:rFonts w:ascii="Arial" w:hAnsi="Arial" w:cs="Arial"/>
          <w:sz w:val="24"/>
          <w:szCs w:val="24"/>
        </w:rPr>
        <w:t>Euro’luk</w:t>
      </w:r>
      <w:proofErr w:type="spellEnd"/>
      <w:r>
        <w:rPr>
          <w:rFonts w:ascii="Arial" w:hAnsi="Arial" w:cs="Arial"/>
          <w:sz w:val="24"/>
          <w:szCs w:val="24"/>
        </w:rPr>
        <w:t xml:space="preserve"> kısım personelin o ay ulaşmış olduğu brüt aylık ile toplanarak vergilendirilecektir. </w:t>
      </w: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Çalışmamızın faydalı olması dileğiyle. </w:t>
      </w: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Cevdet Akçakoca</w:t>
      </w:r>
    </w:p>
    <w:p w:rsidR="003238DF" w:rsidRDefault="003238DF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Bağımsız Denetçi </w:t>
      </w:r>
    </w:p>
    <w:p w:rsidR="003238DF" w:rsidRPr="00433853" w:rsidRDefault="003238DF" w:rsidP="007E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Yeminli Mali Müşavir</w:t>
      </w:r>
    </w:p>
    <w:sectPr w:rsidR="003238DF" w:rsidRPr="0043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B"/>
    <w:rsid w:val="00230372"/>
    <w:rsid w:val="003238DF"/>
    <w:rsid w:val="003D6E56"/>
    <w:rsid w:val="00433853"/>
    <w:rsid w:val="006B616E"/>
    <w:rsid w:val="007E3EFB"/>
    <w:rsid w:val="00B93F23"/>
    <w:rsid w:val="00DE0F55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B2D3-01EE-4464-A2F2-3BDCD56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FB"/>
    <w:pPr>
      <w:spacing w:after="1" w:line="218" w:lineRule="auto"/>
      <w:ind w:left="768" w:hanging="10"/>
      <w:jc w:val="both"/>
    </w:pPr>
    <w:rPr>
      <w:rFonts w:ascii="Times New Roman" w:eastAsia="Times New Roman" w:hAnsi="Times New Roman" w:cs="Times New Roman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E3EFB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Cevdetakcakoca</dc:creator>
  <cp:keywords/>
  <dc:description/>
  <cp:lastModifiedBy>Cevdetakcakoca</cp:lastModifiedBy>
  <cp:revision>2</cp:revision>
  <dcterms:created xsi:type="dcterms:W3CDTF">2014-02-04T06:28:00Z</dcterms:created>
  <dcterms:modified xsi:type="dcterms:W3CDTF">2014-02-04T06:28:00Z</dcterms:modified>
</cp:coreProperties>
</file>