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A9" w:rsidRDefault="003E50A9" w:rsidP="003E50A9">
      <w:pPr>
        <w:rPr>
          <w:rFonts w:ascii="Arial" w:hAnsi="Arial" w:cs="Arial"/>
          <w:sz w:val="24"/>
          <w:szCs w:val="24"/>
        </w:rPr>
      </w:pP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Bursa, 12.Şubat.2015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2014 </w:t>
      </w:r>
      <w:proofErr w:type="gramStart"/>
      <w:r>
        <w:rPr>
          <w:rFonts w:ascii="Arial" w:hAnsi="Arial" w:cs="Arial"/>
          <w:sz w:val="24"/>
          <w:szCs w:val="24"/>
        </w:rPr>
        <w:t>yıl sonu</w:t>
      </w:r>
      <w:proofErr w:type="gramEnd"/>
      <w:r>
        <w:rPr>
          <w:rFonts w:ascii="Arial" w:hAnsi="Arial" w:cs="Arial"/>
          <w:sz w:val="24"/>
          <w:szCs w:val="24"/>
        </w:rPr>
        <w:t xml:space="preserve"> net dış borç stoku ve kamu net borç stoku 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Türkiyenin</w:t>
      </w:r>
      <w:proofErr w:type="spellEnd"/>
      <w:r>
        <w:rPr>
          <w:rFonts w:ascii="Arial" w:hAnsi="Arial" w:cs="Arial"/>
          <w:sz w:val="24"/>
          <w:szCs w:val="24"/>
        </w:rPr>
        <w:t xml:space="preserve"> net dış borç stoku ne kadardır?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Ülkemizin net dış borç stoku milyon dolar olarak aşağıdaki gibidir.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2693"/>
      </w:tblGrid>
      <w:tr w:rsidR="003E50A9" w:rsidTr="006C72CD"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Açıklama </w:t>
            </w:r>
          </w:p>
        </w:tc>
        <w:tc>
          <w:tcPr>
            <w:tcW w:w="2693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Milyon ABD. $</w:t>
            </w:r>
          </w:p>
        </w:tc>
      </w:tr>
      <w:tr w:rsidR="003E50A9" w:rsidTr="006C72CD"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Brüt borç stoku </w:t>
            </w:r>
          </w:p>
        </w:tc>
        <w:tc>
          <w:tcPr>
            <w:tcW w:w="2693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396.800</w:t>
            </w:r>
          </w:p>
        </w:tc>
      </w:tr>
      <w:tr w:rsidR="003E50A9" w:rsidTr="006C72CD"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TCMB borcu </w:t>
            </w:r>
          </w:p>
        </w:tc>
        <w:tc>
          <w:tcPr>
            <w:tcW w:w="2693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-2,944</w:t>
            </w:r>
          </w:p>
        </w:tc>
      </w:tr>
      <w:tr w:rsidR="003E50A9" w:rsidTr="006C72CD"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Bankacılık kesimi dış borcu </w:t>
            </w:r>
          </w:p>
        </w:tc>
        <w:tc>
          <w:tcPr>
            <w:tcW w:w="2693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-167,219</w:t>
            </w:r>
          </w:p>
        </w:tc>
      </w:tr>
      <w:tr w:rsidR="003E50A9" w:rsidTr="003E50A9">
        <w:trPr>
          <w:trHeight w:val="421"/>
        </w:trPr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dış borç</w:t>
            </w:r>
          </w:p>
        </w:tc>
        <w:tc>
          <w:tcPr>
            <w:tcW w:w="2693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226,637</w:t>
            </w:r>
          </w:p>
        </w:tc>
      </w:tr>
      <w:tr w:rsidR="003E50A9" w:rsidTr="006C72CD"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Bankalar net varlıkları </w:t>
            </w:r>
          </w:p>
        </w:tc>
        <w:tc>
          <w:tcPr>
            <w:tcW w:w="2693" w:type="dxa"/>
          </w:tcPr>
          <w:p w:rsidR="003E50A9" w:rsidRPr="00FF37D1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F37D1">
              <w:rPr>
                <w:rFonts w:ascii="Arial" w:hAnsi="Arial" w:cs="Arial"/>
                <w:sz w:val="24"/>
                <w:szCs w:val="24"/>
                <w:highlight w:val="yellow"/>
              </w:rPr>
              <w:t>8,910</w:t>
            </w:r>
          </w:p>
        </w:tc>
      </w:tr>
      <w:tr w:rsidR="003E50A9" w:rsidTr="006C72CD"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Katılım ve Yatırım bankaları net varlık</w:t>
            </w:r>
          </w:p>
        </w:tc>
        <w:tc>
          <w:tcPr>
            <w:tcW w:w="2693" w:type="dxa"/>
          </w:tcPr>
          <w:p w:rsidR="003E50A9" w:rsidRPr="00FF37D1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37D1">
              <w:rPr>
                <w:rFonts w:ascii="Arial" w:hAnsi="Arial" w:cs="Arial"/>
                <w:sz w:val="24"/>
                <w:szCs w:val="24"/>
                <w:highlight w:val="yellow"/>
              </w:rPr>
              <w:t>-15,630</w:t>
            </w:r>
          </w:p>
        </w:tc>
      </w:tr>
      <w:tr w:rsidR="003E50A9" w:rsidTr="006C72CD"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Parasal sektör net varlık</w:t>
            </w:r>
          </w:p>
        </w:tc>
        <w:tc>
          <w:tcPr>
            <w:tcW w:w="2693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6.720</w:t>
            </w:r>
          </w:p>
        </w:tc>
      </w:tr>
      <w:tr w:rsidR="003E50A9" w:rsidTr="006C72CD"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Türkiye Net borç stoku </w:t>
            </w:r>
          </w:p>
        </w:tc>
        <w:tc>
          <w:tcPr>
            <w:tcW w:w="2693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233,357</w:t>
            </w:r>
          </w:p>
        </w:tc>
      </w:tr>
      <w:tr w:rsidR="003E50A9" w:rsidTr="006C72CD"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borç / GSMH % olarak</w:t>
            </w:r>
          </w:p>
        </w:tc>
        <w:tc>
          <w:tcPr>
            <w:tcW w:w="2693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%29,2</w:t>
            </w:r>
          </w:p>
        </w:tc>
      </w:tr>
      <w:tr w:rsidR="003E50A9" w:rsidTr="006C72CD">
        <w:tc>
          <w:tcPr>
            <w:tcW w:w="5524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0A9" w:rsidRDefault="003E50A9" w:rsidP="003E50A9">
      <w:pPr>
        <w:rPr>
          <w:rFonts w:ascii="Arial" w:hAnsi="Arial" w:cs="Arial"/>
          <w:sz w:val="24"/>
          <w:szCs w:val="24"/>
        </w:rPr>
      </w:pP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 borç stoku açısından borçluluk oranının dünyanın diğer ülkelerine göre çok daha iyi durumda olduğu ortadadır. 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Kamunun TL. </w:t>
      </w:r>
      <w:proofErr w:type="gramStart"/>
      <w:r>
        <w:rPr>
          <w:rFonts w:ascii="Arial" w:hAnsi="Arial" w:cs="Arial"/>
          <w:sz w:val="24"/>
          <w:szCs w:val="24"/>
        </w:rPr>
        <w:t>olarak</w:t>
      </w:r>
      <w:proofErr w:type="gramEnd"/>
      <w:r>
        <w:rPr>
          <w:rFonts w:ascii="Arial" w:hAnsi="Arial" w:cs="Arial"/>
          <w:sz w:val="24"/>
          <w:szCs w:val="24"/>
        </w:rPr>
        <w:t xml:space="preserve"> yani yıllık bütçeden TL. </w:t>
      </w:r>
      <w:proofErr w:type="gramStart"/>
      <w:r>
        <w:rPr>
          <w:rFonts w:ascii="Arial" w:hAnsi="Arial" w:cs="Arial"/>
          <w:sz w:val="24"/>
          <w:szCs w:val="24"/>
        </w:rPr>
        <w:t>olarak</w:t>
      </w:r>
      <w:proofErr w:type="gramEnd"/>
      <w:r>
        <w:rPr>
          <w:rFonts w:ascii="Arial" w:hAnsi="Arial" w:cs="Arial"/>
          <w:sz w:val="24"/>
          <w:szCs w:val="24"/>
        </w:rPr>
        <w:t xml:space="preserve"> harcama ve ödemeleri açısından net borç stoku ne kadardır?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3E50A9" w:rsidTr="006C72CD">
        <w:tc>
          <w:tcPr>
            <w:tcW w:w="4531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Açıklama </w:t>
            </w:r>
          </w:p>
        </w:tc>
        <w:tc>
          <w:tcPr>
            <w:tcW w:w="1985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Milyar TL. </w:t>
            </w:r>
          </w:p>
        </w:tc>
      </w:tr>
      <w:tr w:rsidR="003E50A9" w:rsidTr="006C72CD">
        <w:tc>
          <w:tcPr>
            <w:tcW w:w="4531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Brüt İç borç tutarı </w:t>
            </w:r>
          </w:p>
        </w:tc>
        <w:tc>
          <w:tcPr>
            <w:tcW w:w="1985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</w:tr>
      <w:tr w:rsidR="003E50A9" w:rsidTr="006C72CD">
        <w:tc>
          <w:tcPr>
            <w:tcW w:w="4531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Brüt dış borç tutarı </w:t>
            </w:r>
          </w:p>
        </w:tc>
        <w:tc>
          <w:tcPr>
            <w:tcW w:w="1985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</w:tr>
      <w:tr w:rsidR="003E50A9" w:rsidTr="006C72CD">
        <w:tc>
          <w:tcPr>
            <w:tcW w:w="4531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Toplam iç ve dış borç tutarı </w:t>
            </w:r>
          </w:p>
        </w:tc>
        <w:tc>
          <w:tcPr>
            <w:tcW w:w="1985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642,60</w:t>
            </w:r>
          </w:p>
        </w:tc>
      </w:tr>
      <w:tr w:rsidR="003E50A9" w:rsidTr="006C72CD">
        <w:tc>
          <w:tcPr>
            <w:tcW w:w="4531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TCMB Varlıkları </w:t>
            </w:r>
          </w:p>
        </w:tc>
        <w:tc>
          <w:tcPr>
            <w:tcW w:w="1985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-315,90</w:t>
            </w:r>
          </w:p>
        </w:tc>
      </w:tr>
      <w:tr w:rsidR="003E50A9" w:rsidTr="006C72CD">
        <w:tc>
          <w:tcPr>
            <w:tcW w:w="4531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Kamu varlıkları </w:t>
            </w:r>
          </w:p>
        </w:tc>
        <w:tc>
          <w:tcPr>
            <w:tcW w:w="1985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-70,50</w:t>
            </w:r>
          </w:p>
        </w:tc>
      </w:tr>
      <w:tr w:rsidR="003E50A9" w:rsidTr="006C72CD">
        <w:tc>
          <w:tcPr>
            <w:tcW w:w="4531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İşsizlik sigortası fonu net varlıkları </w:t>
            </w:r>
          </w:p>
        </w:tc>
        <w:tc>
          <w:tcPr>
            <w:tcW w:w="1985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-78,30</w:t>
            </w:r>
          </w:p>
        </w:tc>
      </w:tr>
      <w:tr w:rsidR="003E50A9" w:rsidTr="006C72CD">
        <w:tc>
          <w:tcPr>
            <w:tcW w:w="4531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Kamunun net borç stoku</w:t>
            </w:r>
          </w:p>
        </w:tc>
        <w:tc>
          <w:tcPr>
            <w:tcW w:w="1985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177,90</w:t>
            </w:r>
          </w:p>
        </w:tc>
      </w:tr>
      <w:tr w:rsidR="003E50A9" w:rsidTr="006C72CD">
        <w:tc>
          <w:tcPr>
            <w:tcW w:w="4531" w:type="dxa"/>
          </w:tcPr>
          <w:p w:rsidR="003E50A9" w:rsidRDefault="003E50A9" w:rsidP="006C72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0A9" w:rsidRDefault="003E50A9" w:rsidP="006C7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0A9" w:rsidRDefault="003E50A9" w:rsidP="003E50A9">
      <w:pPr>
        <w:rPr>
          <w:rFonts w:ascii="Arial" w:hAnsi="Arial" w:cs="Arial"/>
          <w:sz w:val="24"/>
          <w:szCs w:val="24"/>
        </w:rPr>
      </w:pP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Merkez Bankası Döviz ve Altın Rezervi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131,9 Milyar $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dır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SONUÇ: 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2015 yılı genel olarak dünyadaki dengeler, ekonomik aktiviteler, siyasi ve askeri çatışmalar ve ülkemizde önümüzdeki kısa dönemde yapılacak seçimler göz önüne alındığında epeyce zor bir yıl olmaya aday bir yıldır. 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Türlüüü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çeşitliii</w:t>
      </w:r>
      <w:proofErr w:type="spellEnd"/>
      <w:r>
        <w:rPr>
          <w:rFonts w:ascii="Arial" w:hAnsi="Arial" w:cs="Arial"/>
          <w:sz w:val="24"/>
          <w:szCs w:val="24"/>
        </w:rPr>
        <w:t xml:space="preserve"> yazılar, yazarlar, matematiğin ve istatistiğin gerektiğinde en kolay kullanılabilecek yalan olduğunu da göz önüne alarak kendimce en doğru rakamları bularak sizlere sunmaya çalıştım. 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Yazılı ve sözlü medyada karşınıza çıkacak (Türkiye’nin </w:t>
      </w:r>
      <w:proofErr w:type="gramStart"/>
      <w:r>
        <w:rPr>
          <w:rFonts w:ascii="Arial" w:hAnsi="Arial" w:cs="Arial"/>
          <w:sz w:val="24"/>
          <w:szCs w:val="24"/>
        </w:rPr>
        <w:t>iç  ve</w:t>
      </w:r>
      <w:proofErr w:type="gramEnd"/>
      <w:r>
        <w:rPr>
          <w:rFonts w:ascii="Arial" w:hAnsi="Arial" w:cs="Arial"/>
          <w:sz w:val="24"/>
          <w:szCs w:val="24"/>
        </w:rPr>
        <w:t xml:space="preserve"> dış borç rakamları gibi söylemlerle karşılaştığınızda) son üç yazımın konusu olan rakamları göz önüne alırsanız, karşınıza çıkan o rakamların doğruluğu veya yanlışlığı konusunda daha kolay karar verebilirsiniz ve de durup dururken moral bozukluğu ile karşılaşmazsınız.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Ben her zamanki gibi bardağın dolu tarafına bakmaya çalıştım, eğer bardağın dolu tarafına bakmazsanız, ahlarla </w:t>
      </w:r>
      <w:proofErr w:type="spellStart"/>
      <w:r>
        <w:rPr>
          <w:rFonts w:ascii="Arial" w:hAnsi="Arial" w:cs="Arial"/>
          <w:sz w:val="24"/>
          <w:szCs w:val="24"/>
        </w:rPr>
        <w:t>vahlarla</w:t>
      </w:r>
      <w:proofErr w:type="spellEnd"/>
      <w:r>
        <w:rPr>
          <w:rFonts w:ascii="Arial" w:hAnsi="Arial" w:cs="Arial"/>
          <w:sz w:val="24"/>
          <w:szCs w:val="24"/>
        </w:rPr>
        <w:t xml:space="preserve"> hem kendi moralinizi bozarsınız, hem de çevrenizin. Oysa bu yazılarımdaki çalışmaları ve </w:t>
      </w:r>
      <w:proofErr w:type="spellStart"/>
      <w:r>
        <w:rPr>
          <w:rFonts w:ascii="Arial" w:hAnsi="Arial" w:cs="Arial"/>
          <w:sz w:val="24"/>
          <w:szCs w:val="24"/>
        </w:rPr>
        <w:t>Türkiyenin</w:t>
      </w:r>
      <w:proofErr w:type="spellEnd"/>
      <w:r>
        <w:rPr>
          <w:rFonts w:ascii="Arial" w:hAnsi="Arial" w:cs="Arial"/>
          <w:sz w:val="24"/>
          <w:szCs w:val="24"/>
        </w:rPr>
        <w:t xml:space="preserve"> milli gelir, dış borç yapısı, özel sektörün borç yapısı gibi konuları dikkatle inceler ve dünya ülkelerinin borçluluk oranları ile karşılaştırmaları da göz önüne alırsanız Türkiye’nin diğer ülkelerden bir </w:t>
      </w:r>
      <w:proofErr w:type="spellStart"/>
      <w:r>
        <w:rPr>
          <w:rFonts w:ascii="Arial" w:hAnsi="Arial" w:cs="Arial"/>
          <w:sz w:val="24"/>
          <w:szCs w:val="24"/>
        </w:rPr>
        <w:t>atbaşı</w:t>
      </w:r>
      <w:proofErr w:type="spellEnd"/>
      <w:r>
        <w:rPr>
          <w:rFonts w:ascii="Arial" w:hAnsi="Arial" w:cs="Arial"/>
          <w:sz w:val="24"/>
          <w:szCs w:val="24"/>
        </w:rPr>
        <w:t xml:space="preserve"> daha önde olduğunu görürsünüz. 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Cevdet Akçakoca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Bağımsız Denetçi </w:t>
      </w:r>
    </w:p>
    <w:p w:rsidR="003E50A9" w:rsidRDefault="003E50A9" w:rsidP="003E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Yeminli Mali Müşavir</w:t>
      </w:r>
    </w:p>
    <w:p w:rsidR="003E50A9" w:rsidRPr="00D757BC" w:rsidRDefault="003E50A9" w:rsidP="003E50A9">
      <w:pPr>
        <w:rPr>
          <w:rFonts w:ascii="Arial" w:hAnsi="Arial" w:cs="Arial"/>
          <w:sz w:val="24"/>
          <w:szCs w:val="24"/>
        </w:rPr>
      </w:pPr>
    </w:p>
    <w:p w:rsidR="005816D5" w:rsidRDefault="005816D5"/>
    <w:sectPr w:rsidR="0058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9"/>
    <w:rsid w:val="003E50A9"/>
    <w:rsid w:val="005816D5"/>
    <w:rsid w:val="00F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3BC0-78DC-4C35-A3D5-784BB5E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Cevdetakcakoca</dc:creator>
  <cp:keywords/>
  <dc:description/>
  <cp:lastModifiedBy>T5</cp:lastModifiedBy>
  <cp:revision>2</cp:revision>
  <dcterms:created xsi:type="dcterms:W3CDTF">2015-02-17T08:00:00Z</dcterms:created>
  <dcterms:modified xsi:type="dcterms:W3CDTF">2015-02-17T08:00:00Z</dcterms:modified>
</cp:coreProperties>
</file>